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F1D8B" w:rsidRDefault="007F1D8B" w:rsidP="007F1D8B">
      <w:pPr>
        <w:numPr>
          <w:ilvl w:val="0"/>
          <w:numId w:val="4"/>
        </w:numPr>
      </w:pPr>
      <w:r w:rsidRPr="007F1D8B">
        <w:t xml:space="preserve">Do I have a right to be present at the </w:t>
      </w:r>
      <w:bookmarkStart w:id="0" w:name="_GoBack"/>
      <w:bookmarkEnd w:id="0"/>
      <w:r w:rsidRPr="007F1D8B">
        <w:t>evidentiary hearing?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No, Rules 24.035(</w:t>
      </w:r>
      <w:proofErr w:type="spellStart"/>
      <w:r w:rsidRPr="007F1D8B">
        <w:t>i</w:t>
      </w:r>
      <w:proofErr w:type="spellEnd"/>
      <w:r w:rsidRPr="007F1D8B">
        <w:t>) and 29.15(</w:t>
      </w:r>
      <w:proofErr w:type="spellStart"/>
      <w:r w:rsidRPr="007F1D8B">
        <w:t>i</w:t>
      </w:r>
      <w:proofErr w:type="spellEnd"/>
      <w:r w:rsidRPr="007F1D8B">
        <w:t>)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 xml:space="preserve">“‘A post-conviction relief proceeding is a civil, not criminal, proceeding. ... The confrontation clause does not apply to a post-conviction relief hearing.’” </w:t>
      </w:r>
      <w:r w:rsidRPr="007F1D8B">
        <w:rPr>
          <w:i/>
          <w:iCs/>
        </w:rPr>
        <w:t>State v. Ramsey</w:t>
      </w:r>
      <w:r w:rsidRPr="007F1D8B">
        <w:t xml:space="preserve">, 874 S.W.2d 414 (Mo. App. W.D. 1994) (quoting </w:t>
      </w:r>
      <w:r w:rsidRPr="007F1D8B">
        <w:rPr>
          <w:i/>
          <w:iCs/>
        </w:rPr>
        <w:t>Leisure v. State</w:t>
      </w:r>
      <w:r w:rsidRPr="007F1D8B">
        <w:t>, 828 S.W.2d 872, 878 (Mo. banc 1992)).</w:t>
      </w:r>
    </w:p>
    <w:p w:rsidR="007F1D8B" w:rsidRDefault="007F1D8B" w:rsidP="007F1D8B">
      <w:pPr>
        <w:ind w:left="720"/>
      </w:pPr>
    </w:p>
    <w:p w:rsidR="00000000" w:rsidRPr="007F1D8B" w:rsidRDefault="007F1D8B" w:rsidP="007F1D8B">
      <w:pPr>
        <w:numPr>
          <w:ilvl w:val="0"/>
          <w:numId w:val="4"/>
        </w:numPr>
      </w:pPr>
      <w:r w:rsidRPr="007F1D8B">
        <w:t>Can it get worse?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Yes, but</w:t>
      </w:r>
      <w:r w:rsidRPr="007F1D8B">
        <w:t xml:space="preserve"> there are some protections.</w:t>
      </w:r>
    </w:p>
    <w:p w:rsidR="00000000" w:rsidRPr="007F1D8B" w:rsidRDefault="007F1D8B" w:rsidP="007F1D8B">
      <w:pPr>
        <w:numPr>
          <w:ilvl w:val="2"/>
          <w:numId w:val="4"/>
        </w:numPr>
      </w:pPr>
      <w:r w:rsidRPr="007F1D8B">
        <w:t>Limits on retaliatory sentencing</w:t>
      </w:r>
    </w:p>
    <w:p w:rsidR="00000000" w:rsidRPr="007F1D8B" w:rsidRDefault="007F1D8B" w:rsidP="007F1D8B">
      <w:pPr>
        <w:numPr>
          <w:ilvl w:val="3"/>
          <w:numId w:val="4"/>
        </w:numPr>
      </w:pPr>
      <w:r w:rsidRPr="007F1D8B">
        <w:t>North Carolina v. Pearce, 395 U.S. 711  (1969)</w:t>
      </w:r>
    </w:p>
    <w:p w:rsidR="00000000" w:rsidRPr="007F1D8B" w:rsidRDefault="007F1D8B" w:rsidP="007F1D8B">
      <w:pPr>
        <w:numPr>
          <w:ilvl w:val="4"/>
          <w:numId w:val="4"/>
        </w:numPr>
      </w:pPr>
      <w:r w:rsidRPr="007F1D8B">
        <w:t>But, different Judge, different jury, new facts, etc.</w:t>
      </w:r>
    </w:p>
    <w:p w:rsidR="00000000" w:rsidRPr="007F1D8B" w:rsidRDefault="007F1D8B" w:rsidP="007F1D8B">
      <w:pPr>
        <w:numPr>
          <w:ilvl w:val="2"/>
          <w:numId w:val="4"/>
        </w:numPr>
      </w:pPr>
      <w:r w:rsidRPr="007F1D8B">
        <w:t>Limits on prosecutorial discretion</w:t>
      </w:r>
    </w:p>
    <w:p w:rsidR="00000000" w:rsidRPr="007F1D8B" w:rsidRDefault="007F1D8B" w:rsidP="007F1D8B">
      <w:pPr>
        <w:numPr>
          <w:ilvl w:val="3"/>
          <w:numId w:val="4"/>
        </w:numPr>
      </w:pPr>
      <w:r w:rsidRPr="007F1D8B">
        <w:rPr>
          <w:i/>
          <w:iCs/>
        </w:rPr>
        <w:t xml:space="preserve">State v. </w:t>
      </w:r>
      <w:proofErr w:type="spellStart"/>
      <w:r w:rsidRPr="007F1D8B">
        <w:rPr>
          <w:i/>
          <w:iCs/>
        </w:rPr>
        <w:t>Buchli</w:t>
      </w:r>
      <w:proofErr w:type="spellEnd"/>
      <w:r w:rsidRPr="007F1D8B">
        <w:t>, 152 S.W.3d 289, 309 (Mo. App. W.D. 2004)</w:t>
      </w:r>
    </w:p>
    <w:p w:rsidR="00000000" w:rsidRPr="007F1D8B" w:rsidRDefault="007F1D8B" w:rsidP="007F1D8B">
      <w:pPr>
        <w:numPr>
          <w:ilvl w:val="4"/>
          <w:numId w:val="4"/>
        </w:numPr>
      </w:pPr>
      <w:r w:rsidRPr="007F1D8B">
        <w:t>Cannot punish defendants for exercising their co</w:t>
      </w:r>
      <w:r w:rsidRPr="007F1D8B">
        <w:t>nstitutional rights</w:t>
      </w:r>
    </w:p>
    <w:p w:rsidR="00000000" w:rsidRPr="007F1D8B" w:rsidRDefault="007F1D8B" w:rsidP="007F1D8B">
      <w:pPr>
        <w:numPr>
          <w:ilvl w:val="2"/>
          <w:numId w:val="4"/>
        </w:numPr>
      </w:pPr>
      <w:r w:rsidRPr="007F1D8B">
        <w:t>Can happen, and they would have to fight it</w:t>
      </w:r>
    </w:p>
    <w:p w:rsidR="007F1D8B" w:rsidRDefault="007F1D8B" w:rsidP="007F1D8B">
      <w:pPr>
        <w:ind w:left="720"/>
      </w:pPr>
    </w:p>
    <w:p w:rsidR="00000000" w:rsidRPr="007F1D8B" w:rsidRDefault="007F1D8B" w:rsidP="007F1D8B">
      <w:pPr>
        <w:numPr>
          <w:ilvl w:val="0"/>
          <w:numId w:val="4"/>
        </w:numPr>
      </w:pPr>
      <w:r w:rsidRPr="007F1D8B">
        <w:t xml:space="preserve">Can my testimony at the postconviction </w:t>
      </w:r>
      <w:r w:rsidRPr="007F1D8B">
        <w:t>hearing be used against me if I go back to trial?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Likely no: “We therefore hold that when a defendant testifies at a postconviction hearing in support of a motion alleging ineffective assist</w:t>
      </w:r>
      <w:r w:rsidRPr="007F1D8B">
        <w:t xml:space="preserve">ance of counsel where the defendant's testimony is indispensable in overcoming the heavy presumption of counsel's competence, that testimony may not be admitted against the defendant at a subsequent trial to prove its incriminating content on the ultimate </w:t>
      </w:r>
      <w:r w:rsidRPr="007F1D8B">
        <w:t xml:space="preserve">issue of guilt, unless the defendant makes no objection.” </w:t>
      </w:r>
      <w:r w:rsidRPr="007F1D8B">
        <w:rPr>
          <w:i/>
          <w:iCs/>
        </w:rPr>
        <w:t>State v. Samuels</w:t>
      </w:r>
      <w:r w:rsidRPr="007F1D8B">
        <w:t>, 965 S.W.2d 913, 920 (Mo. App. W.D</w:t>
      </w:r>
      <w:proofErr w:type="gramStart"/>
      <w:r w:rsidRPr="007F1D8B">
        <w:t xml:space="preserve">.  </w:t>
      </w:r>
      <w:proofErr w:type="gramEnd"/>
      <w:r w:rsidRPr="007F1D8B">
        <w:t>1998)</w:t>
      </w:r>
    </w:p>
    <w:p w:rsidR="007F1D8B" w:rsidRDefault="007F1D8B" w:rsidP="007F1D8B">
      <w:pPr>
        <w:ind w:left="720"/>
      </w:pPr>
    </w:p>
    <w:p w:rsidR="00000000" w:rsidRPr="007F1D8B" w:rsidRDefault="007F1D8B" w:rsidP="007F1D8B">
      <w:pPr>
        <w:numPr>
          <w:ilvl w:val="0"/>
          <w:numId w:val="4"/>
        </w:numPr>
      </w:pPr>
      <w:r w:rsidRPr="007F1D8B">
        <w:t xml:space="preserve"> Can I get a different judge for my postconviction case?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Not without cause</w:t>
      </w:r>
    </w:p>
    <w:p w:rsidR="00C85274" w:rsidRDefault="007F1D8B" w:rsidP="007F1D8B">
      <w:pPr>
        <w:pStyle w:val="ListParagraph"/>
        <w:numPr>
          <w:ilvl w:val="1"/>
          <w:numId w:val="4"/>
        </w:numPr>
      </w:pPr>
      <w:r w:rsidRPr="007F1D8B">
        <w:t xml:space="preserve">“Rule 51.05, which permits a party in a civil action to seek one change of judge without cause, does not apply in postconviction proceedings.” </w:t>
      </w:r>
      <w:r w:rsidRPr="007F1D8B">
        <w:rPr>
          <w:i/>
          <w:iCs/>
        </w:rPr>
        <w:t>State ex rel. White v. Shinn</w:t>
      </w:r>
      <w:r w:rsidRPr="007F1D8B">
        <w:t xml:space="preserve">, 903 S.W.2d 194, 196 (Mo. App. W.D. 1995) (citing </w:t>
      </w:r>
      <w:r w:rsidRPr="007F1D8B">
        <w:rPr>
          <w:i/>
          <w:iCs/>
        </w:rPr>
        <w:t>Thomas v. State</w:t>
      </w:r>
      <w:r w:rsidRPr="007F1D8B">
        <w:t>,</w:t>
      </w:r>
      <w:r>
        <w:t xml:space="preserve"> 808 S.W.2d 364 (Mo. banc 1991)).</w:t>
      </w:r>
    </w:p>
    <w:p w:rsidR="007F1D8B" w:rsidRDefault="007F1D8B" w:rsidP="007F1D8B"/>
    <w:p w:rsidR="00000000" w:rsidRPr="007F1D8B" w:rsidRDefault="007F1D8B" w:rsidP="007F1D8B">
      <w:pPr>
        <w:numPr>
          <w:ilvl w:val="0"/>
          <w:numId w:val="4"/>
        </w:numPr>
      </w:pPr>
      <w:r w:rsidRPr="007F1D8B">
        <w:t>Can we control the remedy?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I cannot guarantee that</w:t>
      </w:r>
    </w:p>
    <w:p w:rsidR="00000000" w:rsidRPr="007F1D8B" w:rsidRDefault="007F1D8B" w:rsidP="007F1D8B">
      <w:pPr>
        <w:numPr>
          <w:ilvl w:val="2"/>
          <w:numId w:val="4"/>
        </w:numPr>
      </w:pPr>
      <w:r w:rsidRPr="007F1D8B">
        <w:t xml:space="preserve">If the Judgment is in our favor, we likely cannot challenge the remedy the trial court crafts if it “is within the realm” of what was requested in the amended motion. </w:t>
      </w:r>
      <w:proofErr w:type="spellStart"/>
      <w:r w:rsidRPr="007F1D8B">
        <w:rPr>
          <w:i/>
          <w:iCs/>
        </w:rPr>
        <w:t>Shoate</w:t>
      </w:r>
      <w:proofErr w:type="spellEnd"/>
      <w:r w:rsidRPr="007F1D8B">
        <w:rPr>
          <w:i/>
          <w:iCs/>
        </w:rPr>
        <w:t xml:space="preserve"> v. State</w:t>
      </w:r>
      <w:r w:rsidRPr="007F1D8B">
        <w:t>, 529 S.W.3d 869, 871 (Mo. App. W.D. 2017)</w:t>
      </w:r>
    </w:p>
    <w:p w:rsidR="007F1D8B" w:rsidRDefault="007F1D8B" w:rsidP="007F1D8B">
      <w:pPr>
        <w:ind w:left="720"/>
      </w:pPr>
    </w:p>
    <w:p w:rsidR="00000000" w:rsidRPr="007F1D8B" w:rsidRDefault="007F1D8B" w:rsidP="007F1D8B">
      <w:pPr>
        <w:numPr>
          <w:ilvl w:val="0"/>
          <w:numId w:val="4"/>
        </w:numPr>
      </w:pPr>
      <w:r w:rsidRPr="007F1D8B">
        <w:lastRenderedPageBreak/>
        <w:t>Can I represent myself?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 xml:space="preserve">Yes, you have the right to self-representation, but there are risks. </w:t>
      </w:r>
      <w:r w:rsidRPr="007F1D8B">
        <w:rPr>
          <w:i/>
          <w:iCs/>
        </w:rPr>
        <w:t>Se</w:t>
      </w:r>
      <w:r>
        <w:rPr>
          <w:i/>
          <w:iCs/>
        </w:rPr>
        <w:t>e</w:t>
      </w:r>
      <w:r w:rsidRPr="007F1D8B">
        <w:rPr>
          <w:i/>
          <w:iCs/>
        </w:rPr>
        <w:t xml:space="preserve">  </w:t>
      </w:r>
      <w:proofErr w:type="spellStart"/>
      <w:r w:rsidRPr="007F1D8B">
        <w:rPr>
          <w:i/>
          <w:iCs/>
        </w:rPr>
        <w:t>Bittick</w:t>
      </w:r>
      <w:proofErr w:type="spellEnd"/>
      <w:r w:rsidRPr="007F1D8B">
        <w:rPr>
          <w:i/>
          <w:iCs/>
        </w:rPr>
        <w:t xml:space="preserve"> v. State</w:t>
      </w:r>
      <w:r w:rsidRPr="007F1D8B">
        <w:t xml:space="preserve">, </w:t>
      </w:r>
      <w:r w:rsidRPr="007F1D8B">
        <w:t>105 S.W.3d 498 (Mo. App. W.D. 2003)</w:t>
      </w:r>
    </w:p>
    <w:p w:rsidR="00000000" w:rsidRPr="007F1D8B" w:rsidRDefault="007F1D8B" w:rsidP="007F1D8B">
      <w:pPr>
        <w:numPr>
          <w:ilvl w:val="2"/>
          <w:numId w:val="4"/>
        </w:numPr>
      </w:pPr>
      <w:r w:rsidRPr="007F1D8B">
        <w:t>Like, you have no right to be present, so if you represent yourself, they do not have to bring you back, and you could automatically lose</w:t>
      </w:r>
    </w:p>
    <w:p w:rsidR="007F1D8B" w:rsidRDefault="007F1D8B" w:rsidP="007F1D8B">
      <w:pPr>
        <w:ind w:left="720"/>
      </w:pPr>
    </w:p>
    <w:p w:rsidR="00000000" w:rsidRPr="007F1D8B" w:rsidRDefault="007F1D8B" w:rsidP="007F1D8B">
      <w:pPr>
        <w:numPr>
          <w:ilvl w:val="0"/>
          <w:numId w:val="4"/>
        </w:numPr>
      </w:pPr>
      <w:r w:rsidRPr="007F1D8B">
        <w:t>Can I raise a claim against probation counsel?</w:t>
      </w:r>
    </w:p>
    <w:p w:rsidR="00000000" w:rsidRPr="007F1D8B" w:rsidRDefault="007F1D8B" w:rsidP="007F1D8B">
      <w:pPr>
        <w:numPr>
          <w:ilvl w:val="1"/>
          <w:numId w:val="4"/>
        </w:numPr>
      </w:pPr>
      <w:r w:rsidRPr="007F1D8B">
        <w:t>Not in a 24.035 or 29.15. The proper remedy is habeas corpus, because, “[r]</w:t>
      </w:r>
      <w:proofErr w:type="spellStart"/>
      <w:r w:rsidRPr="007F1D8B">
        <w:t>ule</w:t>
      </w:r>
      <w:proofErr w:type="spellEnd"/>
      <w:r w:rsidRPr="007F1D8B">
        <w:t xml:space="preserve"> 24.035 allows </w:t>
      </w:r>
      <w:r w:rsidRPr="007F1D8B">
        <w:t xml:space="preserve">only challenges to the validity of judgments of conviction or sentences, and then only on specified grounds.” </w:t>
      </w:r>
      <w:r w:rsidRPr="007F1D8B">
        <w:rPr>
          <w:i/>
          <w:iCs/>
        </w:rPr>
        <w:t>Snyder v. State</w:t>
      </w:r>
      <w:r w:rsidRPr="007F1D8B">
        <w:t xml:space="preserve">, 288 S.W.3d 301(Mo. App. E.D. 2009) (citing </w:t>
      </w:r>
      <w:proofErr w:type="spellStart"/>
      <w:r w:rsidRPr="007F1D8B">
        <w:rPr>
          <w:i/>
          <w:iCs/>
        </w:rPr>
        <w:t>Teter</w:t>
      </w:r>
      <w:proofErr w:type="spellEnd"/>
      <w:r w:rsidRPr="007F1D8B">
        <w:rPr>
          <w:i/>
          <w:iCs/>
        </w:rPr>
        <w:t xml:space="preserve"> v. State</w:t>
      </w:r>
      <w:r w:rsidRPr="007F1D8B">
        <w:t>, 893 S.W.2d 405, 405 (Mo. App. W.D.1995)).</w:t>
      </w:r>
    </w:p>
    <w:p w:rsidR="007F1D8B" w:rsidRDefault="007F1D8B" w:rsidP="007F1D8B"/>
    <w:sectPr w:rsidR="007F1D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8B" w:rsidRDefault="007F1D8B" w:rsidP="007F1D8B">
      <w:r>
        <w:separator/>
      </w:r>
    </w:p>
  </w:endnote>
  <w:endnote w:type="continuationSeparator" w:id="0">
    <w:p w:rsidR="007F1D8B" w:rsidRDefault="007F1D8B" w:rsidP="007F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8B" w:rsidRDefault="007F1D8B" w:rsidP="007F1D8B">
      <w:r>
        <w:separator/>
      </w:r>
    </w:p>
  </w:footnote>
  <w:footnote w:type="continuationSeparator" w:id="0">
    <w:p w:rsidR="007F1D8B" w:rsidRDefault="007F1D8B" w:rsidP="007F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8B" w:rsidRDefault="007F1D8B" w:rsidP="007F1D8B">
    <w:pPr>
      <w:pStyle w:val="Header"/>
      <w:jc w:val="center"/>
    </w:pPr>
    <w:r>
      <w:t>Common Client Questions and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761"/>
    <w:multiLevelType w:val="hybridMultilevel"/>
    <w:tmpl w:val="37CC12EC"/>
    <w:lvl w:ilvl="0" w:tplc="4A309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4AC05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409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00AD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036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ACE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285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3826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CC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10062E"/>
    <w:multiLevelType w:val="hybridMultilevel"/>
    <w:tmpl w:val="9DD0D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64EC"/>
    <w:multiLevelType w:val="hybridMultilevel"/>
    <w:tmpl w:val="EF563B36"/>
    <w:lvl w:ilvl="0" w:tplc="D87EEB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521A7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0CC11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3AD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444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C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0A4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4A4A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3CF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325D75"/>
    <w:multiLevelType w:val="hybridMultilevel"/>
    <w:tmpl w:val="17E87402"/>
    <w:lvl w:ilvl="0" w:tplc="F36C31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A4F04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EC5A4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2F5D2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4AFAFE"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404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722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6C2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6C9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B"/>
    <w:rsid w:val="007A71CF"/>
    <w:rsid w:val="007F1D8B"/>
    <w:rsid w:val="00C51D3B"/>
    <w:rsid w:val="00C85274"/>
    <w:rsid w:val="00D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D8B"/>
  </w:style>
  <w:style w:type="paragraph" w:styleId="Footer">
    <w:name w:val="footer"/>
    <w:basedOn w:val="Normal"/>
    <w:link w:val="FooterChar"/>
    <w:uiPriority w:val="99"/>
    <w:unhideWhenUsed/>
    <w:rsid w:val="007F1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D8B"/>
  </w:style>
  <w:style w:type="paragraph" w:styleId="Footer">
    <w:name w:val="footer"/>
    <w:basedOn w:val="Normal"/>
    <w:link w:val="FooterChar"/>
    <w:uiPriority w:val="99"/>
    <w:unhideWhenUsed/>
    <w:rsid w:val="007F1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8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45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5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33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8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3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73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36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5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7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00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4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47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1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10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4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108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158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8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3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661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593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8EC10D49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hfinn</dc:creator>
  <cp:lastModifiedBy>hfinn</cp:lastModifiedBy>
  <cp:revision>1</cp:revision>
  <dcterms:created xsi:type="dcterms:W3CDTF">2019-04-24T12:38:00Z</dcterms:created>
  <dcterms:modified xsi:type="dcterms:W3CDTF">2019-04-24T12:41:00Z</dcterms:modified>
</cp:coreProperties>
</file>