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41E70" w:rsidRDefault="00BD5B86" w:rsidP="00C41E70">
      <w:pPr>
        <w:rPr>
          <w:b/>
        </w:rPr>
      </w:pPr>
      <w:r w:rsidRPr="00C41E70">
        <w:rPr>
          <w:b/>
        </w:rPr>
        <w:t>Speculation</w:t>
      </w:r>
    </w:p>
    <w:p w:rsidR="00000000" w:rsidRPr="00C41E70" w:rsidRDefault="00BD5B86" w:rsidP="00C41E70">
      <w:r w:rsidRPr="00C41E70">
        <w:t>When your client or counsel is testifying about what they would have done had they known a different fact:</w:t>
      </w:r>
    </w:p>
    <w:p w:rsidR="00C41E70" w:rsidRPr="00C41E70" w:rsidRDefault="00C41E70" w:rsidP="00C41E70">
      <w:pPr>
        <w:ind w:left="720" w:right="720"/>
      </w:pPr>
      <w:r w:rsidRPr="00C41E70">
        <w:tab/>
        <w:t xml:space="preserve">Ford is correct that where, as here, no warning is given, then evidence of what a person would have done had a warning been given inherently is hypothetical in character. Yet, to show causation, a plaintiff must show that the absence of a warning was the proximate cause of the injury. As a matter of logic, to accomplish </w:t>
      </w:r>
      <w:proofErr w:type="gramStart"/>
      <w:r w:rsidRPr="00C41E70">
        <w:t>this a</w:t>
      </w:r>
      <w:proofErr w:type="gramEnd"/>
      <w:r w:rsidRPr="00C41E70">
        <w:t xml:space="preserve"> plaintiff must show that she did not have the information the warning would have imparted already and that, if she had the information, it would have affected her conduct. This creates a “Catch–22” in which the plaintiff must prove what she would have done had a warning been given to prove causation, but evidence on this issue must be precluded as speculative.</w:t>
      </w:r>
    </w:p>
    <w:p w:rsidR="00C41E70" w:rsidRPr="00C41E70" w:rsidRDefault="00C41E70" w:rsidP="00C41E70">
      <w:pPr>
        <w:ind w:left="720" w:right="720"/>
      </w:pPr>
      <w:r w:rsidRPr="00C41E70">
        <w:tab/>
        <w:t xml:space="preserve">This dilemma is avoided in Missouri and other states by the use of a presumption that had an adequate warning been given, it would have been heeded. For that reason, the trial court did not err in holding during the direct examination of Ms. Moore that her testimony as to what she might have done had a warning been given was speculative. Arnold, </w:t>
      </w:r>
      <w:proofErr w:type="gramStart"/>
      <w:r w:rsidRPr="00C41E70">
        <w:t>908 S.W.2d at 763</w:t>
      </w:r>
      <w:proofErr w:type="gramEnd"/>
      <w:r w:rsidRPr="00C41E70">
        <w:t>.</w:t>
      </w:r>
    </w:p>
    <w:p w:rsidR="00C41E70" w:rsidRPr="00C41E70" w:rsidRDefault="00C41E70" w:rsidP="00C41E70">
      <w:pPr>
        <w:ind w:left="720" w:right="720"/>
      </w:pPr>
      <w:r w:rsidRPr="00C41E70">
        <w:tab/>
        <w:t xml:space="preserve">The heeding presumption is a rebuttable one, however. Tune, </w:t>
      </w:r>
      <w:proofErr w:type="gramStart"/>
      <w:r w:rsidRPr="00C41E70">
        <w:t>883 S.W.2d at 14</w:t>
      </w:r>
      <w:proofErr w:type="gramEnd"/>
      <w:r w:rsidRPr="00C41E70">
        <w:t>. Here, Ford chose to try to rebut it by obtaining concessions from Ms. Moore on cross-examination that she really did not look for warnings and that she would have driven the vehicle once purchased. She agreed that she did not look specifically at this manual or at prior vehicle manuals with the purpose of seeing whether there was a seat weight limit.</w:t>
      </w:r>
    </w:p>
    <w:p w:rsidR="00C41E70" w:rsidRPr="00C41E70" w:rsidRDefault="00C41E70" w:rsidP="00C41E70">
      <w:pPr>
        <w:ind w:left="720" w:right="720"/>
      </w:pPr>
      <w:r w:rsidRPr="00C41E70">
        <w:tab/>
        <w:t xml:space="preserve">The </w:t>
      </w:r>
      <w:proofErr w:type="spellStart"/>
      <w:r w:rsidRPr="00C41E70">
        <w:t>Moores</w:t>
      </w:r>
      <w:proofErr w:type="spellEnd"/>
      <w:r w:rsidRPr="00C41E70">
        <w:t xml:space="preserve"> did not attempt to question Ms. Moore further about whether she would have looked for or heeded the warning on redirect, after such evidence became relevant once Ford tried to rebut the presumption</w:t>
      </w:r>
      <w:proofErr w:type="gramStart"/>
      <w:r w:rsidRPr="00C41E70">
        <w:t xml:space="preserve">.  </w:t>
      </w:r>
      <w:proofErr w:type="gramEnd"/>
      <w:r w:rsidRPr="00C41E70">
        <w:t xml:space="preserve">Nonetheless, earlier portions of her testimony that did come in without objection, set out at length above, supported the </w:t>
      </w:r>
      <w:proofErr w:type="spellStart"/>
      <w:r w:rsidRPr="00C41E70">
        <w:t>Moores</w:t>
      </w:r>
      <w:proofErr w:type="spellEnd"/>
      <w:r w:rsidRPr="00C41E70">
        <w:t>' position that she would have heeded a warning about the risks the seats posed for persons of greater than normal weight</w:t>
      </w:r>
      <w:proofErr w:type="gramStart"/>
      <w:r w:rsidRPr="00C41E70">
        <w:t xml:space="preserve">.  </w:t>
      </w:r>
      <w:proofErr w:type="gramEnd"/>
      <w:r w:rsidRPr="00C41E70">
        <w:t xml:space="preserve">It would be up to a jury to weigh all of this testimony. A jury may find persuasive the implication from Ford's questions that the </w:t>
      </w:r>
      <w:proofErr w:type="spellStart"/>
      <w:r w:rsidRPr="00C41E70">
        <w:t>Moores</w:t>
      </w:r>
      <w:proofErr w:type="spellEnd"/>
      <w:r w:rsidRPr="00C41E70">
        <w:t>' testimony was self-serving and should not be accorded much weight. But a jury instead might find it entirely credible. Such a credibility determination is for the jury.</w:t>
      </w:r>
    </w:p>
    <w:p w:rsidR="00C41E70" w:rsidRPr="00C41E70" w:rsidRDefault="00C41E70" w:rsidP="00C41E70">
      <w:r w:rsidRPr="00C41E70">
        <w:rPr>
          <w:i/>
          <w:iCs/>
        </w:rPr>
        <w:t>Moore v. Ford Motor Co.</w:t>
      </w:r>
      <w:r w:rsidRPr="00C41E70">
        <w:t>, 332 S.W.3d 749, 762–63 (Mo. banc 2011)</w:t>
      </w:r>
    </w:p>
    <w:p w:rsidR="00C85274" w:rsidRDefault="00C85274"/>
    <w:p w:rsidR="00C41E70" w:rsidRDefault="00C41E70"/>
    <w:p w:rsidR="00C41E70" w:rsidRDefault="00C41E70"/>
    <w:p w:rsidR="00C41E70" w:rsidRDefault="00C41E70"/>
    <w:p w:rsidR="00C41E70" w:rsidRDefault="00C41E70"/>
    <w:p w:rsidR="00C41E70" w:rsidRDefault="00C41E70"/>
    <w:p w:rsidR="00000000" w:rsidRPr="00C41E70" w:rsidRDefault="00BD5B86" w:rsidP="00C41E70">
      <w:pPr>
        <w:rPr>
          <w:b/>
        </w:rPr>
      </w:pPr>
      <w:r w:rsidRPr="00C41E70">
        <w:rPr>
          <w:b/>
        </w:rPr>
        <w:lastRenderedPageBreak/>
        <w:t>Hearsay</w:t>
      </w:r>
    </w:p>
    <w:p w:rsidR="00000000" w:rsidRPr="00C41E70" w:rsidRDefault="00BD5B86" w:rsidP="00C41E70">
      <w:pPr>
        <w:ind w:left="720"/>
      </w:pPr>
      <w:r w:rsidRPr="00C41E70">
        <w:t xml:space="preserve">“Hearsay is defined as ‘any out-of-court statement that is used to prove the truth of </w:t>
      </w:r>
      <w:r w:rsidRPr="00C41E70">
        <w:t xml:space="preserve">the matter asserted and that depends on the veracity of the statement for its value.’” State v. Reynolds, 456 S.W.3d 101, 104 (Mo.App.W.D.2015) (quoting State v. Sutherland, 939 S.W.2d 373, 376 (Mo. banc 1997)). </w:t>
      </w:r>
    </w:p>
    <w:p w:rsidR="00000000" w:rsidRPr="00C41E70" w:rsidRDefault="00BD5B86" w:rsidP="00C41E70">
      <w:pPr>
        <w:ind w:firstLine="720"/>
        <w:rPr>
          <w:b/>
        </w:rPr>
      </w:pPr>
      <w:r w:rsidRPr="00C41E70">
        <w:rPr>
          <w:b/>
        </w:rPr>
        <w:t>Explaining why your client did something – effect on the listener</w:t>
      </w:r>
    </w:p>
    <w:p w:rsidR="00C41E70" w:rsidRDefault="00BD5B86" w:rsidP="00C41E70">
      <w:pPr>
        <w:ind w:left="1080"/>
      </w:pPr>
      <w:r w:rsidRPr="00C41E70">
        <w:t>“‘[T]</w:t>
      </w:r>
      <w:proofErr w:type="spellStart"/>
      <w:r w:rsidRPr="00C41E70">
        <w:t>estimony</w:t>
      </w:r>
      <w:proofErr w:type="spellEnd"/>
      <w:r w:rsidRPr="00C41E70">
        <w:t xml:space="preserve"> of what another said, when offered in explanation of conduct rather than as proof of th</w:t>
      </w:r>
      <w:r w:rsidRPr="00C41E70">
        <w:t xml:space="preserve">e facts in the other's statement, is not inadmissible hearsay.’” </w:t>
      </w:r>
      <w:r w:rsidRPr="00C41E70">
        <w:rPr>
          <w:i/>
          <w:iCs/>
        </w:rPr>
        <w:t xml:space="preserve">State ex rel. </w:t>
      </w:r>
      <w:proofErr w:type="spellStart"/>
      <w:r w:rsidRPr="00C41E70">
        <w:rPr>
          <w:i/>
          <w:iCs/>
        </w:rPr>
        <w:t>Scherschel</w:t>
      </w:r>
      <w:proofErr w:type="spellEnd"/>
      <w:r w:rsidRPr="00C41E70">
        <w:rPr>
          <w:i/>
          <w:iCs/>
        </w:rPr>
        <w:t xml:space="preserve"> v. City of Kansas City</w:t>
      </w:r>
      <w:r w:rsidRPr="00C41E70">
        <w:t>, 470 S.W.3</w:t>
      </w:r>
      <w:r w:rsidRPr="00C41E70">
        <w:t xml:space="preserve">d 391, 400 (Mo. App. W.D. 2015) (quoting </w:t>
      </w:r>
      <w:r w:rsidRPr="00C41E70">
        <w:rPr>
          <w:i/>
          <w:iCs/>
        </w:rPr>
        <w:t>State v. Leisure</w:t>
      </w:r>
      <w:r w:rsidRPr="00C41E70">
        <w:t xml:space="preserve">, 796 S.W.2d 875, 880 (Mo. banc 1990)). </w:t>
      </w:r>
    </w:p>
    <w:p w:rsidR="00000000" w:rsidRPr="00C41E70" w:rsidRDefault="00BD5B86" w:rsidP="00C41E70">
      <w:pPr>
        <w:ind w:firstLine="720"/>
        <w:rPr>
          <w:b/>
        </w:rPr>
      </w:pPr>
      <w:r w:rsidRPr="00C41E70">
        <w:rPr>
          <w:b/>
        </w:rPr>
        <w:t>That trial counsel said something – not hearsay, just establishing it was said</w:t>
      </w:r>
    </w:p>
    <w:p w:rsidR="00000000" w:rsidRPr="00C41E70" w:rsidRDefault="00BD5B86" w:rsidP="00C41E70">
      <w:pPr>
        <w:ind w:left="1080"/>
      </w:pPr>
      <w:r w:rsidRPr="00C41E70">
        <w:t>“‘[E]</w:t>
      </w:r>
      <w:proofErr w:type="spellStart"/>
      <w:r w:rsidRPr="00C41E70">
        <w:t>vidence</w:t>
      </w:r>
      <w:proofErr w:type="spellEnd"/>
      <w:r w:rsidRPr="00C41E70">
        <w:t xml:space="preserve"> is hearsay only if its evidentiary value depends on drawi</w:t>
      </w:r>
      <w:r w:rsidRPr="00C41E70">
        <w:t xml:space="preserve">ng an </w:t>
      </w:r>
      <w:r w:rsidRPr="00C41E70">
        <w:t xml:space="preserve">inference from the truth of the statement. If the relevance of the statement lies in the mere fact that it was made, no reliance is placed on the truth of the </w:t>
      </w:r>
      <w:proofErr w:type="gramStart"/>
      <w:r w:rsidRPr="00C41E70">
        <w:t>statement</w:t>
      </w:r>
      <w:proofErr w:type="gramEnd"/>
      <w:r w:rsidRPr="00C41E70">
        <w:t xml:space="preserve"> or the credibility of the out-of-court declarant, and the statement is not hearsa</w:t>
      </w:r>
      <w:r w:rsidRPr="00C41E70">
        <w:t xml:space="preserve">y.’” </w:t>
      </w:r>
      <w:r w:rsidRPr="00C41E70">
        <w:rPr>
          <w:i/>
          <w:iCs/>
        </w:rPr>
        <w:t>State v. Sutherland</w:t>
      </w:r>
      <w:r w:rsidRPr="00C41E70">
        <w:t>, 939 S.W.2d 373, 377 (Mo. banc 1997) (quoting John C. O'Brien &amp; Roger L. Goldman, Federal Criminal</w:t>
      </w:r>
      <w:r w:rsidRPr="00C41E70">
        <w:t xml:space="preserve"> Trial Evidence 345 (1989)</w:t>
      </w:r>
    </w:p>
    <w:p w:rsidR="00C41E70" w:rsidRDefault="00C41E70" w:rsidP="00C41E70">
      <w:pPr>
        <w:rPr>
          <w:b/>
        </w:rPr>
      </w:pPr>
    </w:p>
    <w:p w:rsidR="00000000" w:rsidRPr="00C41E70" w:rsidRDefault="00BD5B86" w:rsidP="00C41E70">
      <w:pPr>
        <w:rPr>
          <w:b/>
        </w:rPr>
      </w:pPr>
      <w:r w:rsidRPr="00C41E70">
        <w:rPr>
          <w:b/>
        </w:rPr>
        <w:t xml:space="preserve">Relevance </w:t>
      </w:r>
    </w:p>
    <w:p w:rsidR="00000000" w:rsidRPr="00C41E70" w:rsidRDefault="00BD5B86" w:rsidP="00C41E70">
      <w:pPr>
        <w:ind w:left="720"/>
      </w:pPr>
      <w:r w:rsidRPr="00C41E70">
        <w:t xml:space="preserve">The claim in the amended motion alleges X, this evidence is relevant to </w:t>
      </w:r>
      <w:r w:rsidRPr="00C41E70">
        <w:t>establishing X</w:t>
      </w:r>
      <w:r w:rsidRPr="00C41E70">
        <w:t xml:space="preserve">. A determination of </w:t>
      </w:r>
      <w:proofErr w:type="spellStart"/>
      <w:r w:rsidRPr="00C41E70">
        <w:t>it’s</w:t>
      </w:r>
      <w:proofErr w:type="spellEnd"/>
      <w:r w:rsidRPr="00C41E70">
        <w:t xml:space="preserve"> relevance at the underlying trial is a finding distinct from this evidentiary hearing. </w:t>
      </w:r>
    </w:p>
    <w:p w:rsidR="00C41E70" w:rsidRDefault="00C41E70" w:rsidP="00C41E70"/>
    <w:p w:rsidR="00000000" w:rsidRPr="00C41E70" w:rsidRDefault="00BD5B86" w:rsidP="00C41E70">
      <w:pPr>
        <w:rPr>
          <w:b/>
        </w:rPr>
      </w:pPr>
      <w:r w:rsidRPr="00C41E70">
        <w:rPr>
          <w:b/>
        </w:rPr>
        <w:t>Refreshing recollection improperly</w:t>
      </w:r>
    </w:p>
    <w:p w:rsidR="00000000" w:rsidRPr="00C41E70" w:rsidRDefault="00BD5B86" w:rsidP="00C41E70">
      <w:pPr>
        <w:ind w:left="720"/>
      </w:pPr>
      <w:r w:rsidRPr="00C41E70">
        <w:t xml:space="preserve">If you are asking them about an exhibit, then you are not refreshing their </w:t>
      </w:r>
      <w:r w:rsidRPr="00C41E70">
        <w:t>recollection</w:t>
      </w:r>
    </w:p>
    <w:p w:rsidR="00C41E70" w:rsidRDefault="00C41E70"/>
    <w:p w:rsidR="00C41E70" w:rsidRDefault="00C41E70"/>
    <w:p w:rsidR="00C41E70" w:rsidRDefault="00C41E70"/>
    <w:p w:rsidR="00C41E70" w:rsidRDefault="00C41E70"/>
    <w:p w:rsidR="00C41E70" w:rsidRDefault="00C41E70"/>
    <w:p w:rsidR="00480886" w:rsidRDefault="00480886"/>
    <w:p w:rsidR="00480886" w:rsidRDefault="00480886">
      <w:r>
        <w:br w:type="page"/>
      </w:r>
    </w:p>
    <w:p w:rsidR="00480886" w:rsidRPr="00023EE3" w:rsidRDefault="00480886" w:rsidP="00480886">
      <w:pPr>
        <w:rPr>
          <w:b/>
        </w:rPr>
      </w:pPr>
      <w:r w:rsidRPr="00023EE3">
        <w:rPr>
          <w:b/>
        </w:rPr>
        <w:lastRenderedPageBreak/>
        <w:t xml:space="preserve">Automatic Foundation </w:t>
      </w:r>
    </w:p>
    <w:p w:rsidR="00480886" w:rsidRDefault="00480886" w:rsidP="00480886"/>
    <w:p w:rsidR="00000000" w:rsidRPr="00480886" w:rsidRDefault="00BD5B86" w:rsidP="00480886">
      <w:pPr>
        <w:ind w:firstLine="720"/>
      </w:pPr>
      <w:r w:rsidRPr="00480886">
        <w:t>If it is available on Case.Net</w:t>
      </w:r>
    </w:p>
    <w:p w:rsidR="00480886" w:rsidRDefault="00BD5B86" w:rsidP="00480886">
      <w:pPr>
        <w:ind w:left="1080"/>
      </w:pPr>
      <w:r w:rsidRPr="00480886">
        <w:t xml:space="preserve">§ 490.130 Records of proceedings of any court of this state contained within any statewide court automated record-keeping system established by the supreme court shall be received as evidence of the acts or proceedings in any court of </w:t>
      </w:r>
      <w:r w:rsidRPr="00480886">
        <w:t>this state without further certification of the clerk, provided that the location from which such records are obtained is disclosed to the opposing party</w:t>
      </w:r>
      <w:r w:rsidRPr="00480886">
        <w:t>.</w:t>
      </w:r>
    </w:p>
    <w:p w:rsidR="00F860FE" w:rsidRDefault="00F860FE" w:rsidP="00480886">
      <w:pPr>
        <w:ind w:left="1080"/>
      </w:pPr>
    </w:p>
    <w:p w:rsidR="00000000" w:rsidRPr="00480886" w:rsidRDefault="00BD5B86" w:rsidP="00480886">
      <w:pPr>
        <w:ind w:firstLine="720"/>
      </w:pPr>
      <w:r w:rsidRPr="00480886">
        <w:t xml:space="preserve">§ 490.130 </w:t>
      </w:r>
      <w:r w:rsidRPr="00480886">
        <w:t>court records from other jurisdictions</w:t>
      </w:r>
    </w:p>
    <w:p w:rsidR="00000000" w:rsidRDefault="00BD5B86" w:rsidP="00480886">
      <w:pPr>
        <w:ind w:left="1080"/>
      </w:pPr>
      <w:r w:rsidRPr="00480886">
        <w:t>Must be “attested by the clerk thereof, with t</w:t>
      </w:r>
      <w:r w:rsidRPr="00480886">
        <w:t xml:space="preserve">he seal of the court annexed, if </w:t>
      </w:r>
      <w:r w:rsidRPr="00480886">
        <w:t>there be a seal, and certified by the judge, chief justice or presiding associate circuit judge of the court to be attested in due form”</w:t>
      </w:r>
    </w:p>
    <w:p w:rsidR="00F860FE" w:rsidRPr="00480886" w:rsidRDefault="00F860FE" w:rsidP="00480886">
      <w:pPr>
        <w:ind w:left="1080"/>
      </w:pPr>
    </w:p>
    <w:p w:rsidR="00480886" w:rsidRDefault="00BD5B86" w:rsidP="00480886">
      <w:pPr>
        <w:ind w:firstLine="720"/>
      </w:pPr>
      <w:r w:rsidRPr="00480886">
        <w:t xml:space="preserve">§ 490.220 </w:t>
      </w:r>
      <w:r w:rsidRPr="00480886">
        <w:t>government reports</w:t>
      </w:r>
    </w:p>
    <w:p w:rsidR="00000000" w:rsidRDefault="00BD5B86" w:rsidP="00480886">
      <w:pPr>
        <w:ind w:left="1080"/>
      </w:pPr>
      <w:r w:rsidRPr="00480886">
        <w:t xml:space="preserve">All records and exemplifications of office books, kept in any public office of </w:t>
      </w:r>
      <w:r w:rsidRPr="00480886">
        <w:t xml:space="preserve">the </w:t>
      </w:r>
      <w:r w:rsidRPr="00480886">
        <w:t>United States, or of a sister state, not appertaining to a court, shall be evidence in this state, if attested by the keeper of said record or books, and the seal of his office, if there be a seal.</w:t>
      </w:r>
    </w:p>
    <w:p w:rsidR="00F860FE" w:rsidRPr="00480886" w:rsidRDefault="00F860FE" w:rsidP="00480886">
      <w:pPr>
        <w:ind w:left="1080"/>
      </w:pPr>
    </w:p>
    <w:p w:rsidR="00000000" w:rsidRPr="00480886" w:rsidRDefault="00BD5B86" w:rsidP="00480886">
      <w:pPr>
        <w:ind w:left="360" w:firstLine="360"/>
      </w:pPr>
      <w:r w:rsidRPr="00480886">
        <w:t>§ 490.220 b</w:t>
      </w:r>
      <w:r w:rsidRPr="00480886">
        <w:t>usiness records affidavits</w:t>
      </w:r>
    </w:p>
    <w:p w:rsidR="00000000" w:rsidRDefault="00BD5B86" w:rsidP="00480886">
      <w:pPr>
        <w:ind w:left="1080"/>
      </w:pPr>
      <w:r w:rsidRPr="00480886">
        <w:t>Must serve the opposing party with the records and affidavit at least seven day</w:t>
      </w:r>
      <w:r w:rsidRPr="00480886">
        <w:t xml:space="preserve">s </w:t>
      </w:r>
      <w:r w:rsidRPr="00480886">
        <w:t>prior to the hearing</w:t>
      </w:r>
    </w:p>
    <w:p w:rsidR="00D55A02" w:rsidRPr="00480886" w:rsidRDefault="00D55A02" w:rsidP="00480886">
      <w:pPr>
        <w:ind w:left="1080"/>
      </w:pPr>
      <w:r>
        <w:t>Affidavit “</w:t>
      </w:r>
      <w:r w:rsidRPr="00D55A02">
        <w:t>may be in form and content substantially</w:t>
      </w:r>
      <w:r>
        <w:t xml:space="preserve">” similar to the example affidavit in the statute </w:t>
      </w:r>
      <w:bookmarkStart w:id="0" w:name="_GoBack"/>
      <w:bookmarkEnd w:id="0"/>
      <w:r>
        <w:t xml:space="preserve"> </w:t>
      </w:r>
    </w:p>
    <w:p w:rsidR="00000000" w:rsidRPr="00480886" w:rsidRDefault="00BD5B86" w:rsidP="00480886">
      <w:pPr>
        <w:ind w:left="1440"/>
      </w:pPr>
      <w:r w:rsidRPr="00480886">
        <w:t xml:space="preserve">Weekend </w:t>
      </w:r>
      <w:proofErr w:type="gramStart"/>
      <w:r w:rsidRPr="00480886">
        <w:t>days</w:t>
      </w:r>
      <w:proofErr w:type="gramEnd"/>
      <w:r w:rsidRPr="00480886">
        <w:t xml:space="preserve"> count in the computation: “When the period of time </w:t>
      </w:r>
      <w:r w:rsidRPr="00480886">
        <w:t>prescribed or allowed is less than seven days, intermediate Saturdays, Sundays and legal holidays shall</w:t>
      </w:r>
      <w:r w:rsidRPr="00480886">
        <w:t xml:space="preserve"> be excluded in the computation.” Rule 44.01(a) </w:t>
      </w:r>
    </w:p>
    <w:p w:rsidR="00480886" w:rsidRDefault="00480886"/>
    <w:sectPr w:rsidR="0048088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69B" w:rsidRDefault="009D269B" w:rsidP="009D269B">
      <w:r>
        <w:separator/>
      </w:r>
    </w:p>
  </w:endnote>
  <w:endnote w:type="continuationSeparator" w:id="0">
    <w:p w:rsidR="009D269B" w:rsidRDefault="009D269B" w:rsidP="009D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69B" w:rsidRDefault="009D269B" w:rsidP="009D269B">
      <w:r>
        <w:separator/>
      </w:r>
    </w:p>
  </w:footnote>
  <w:footnote w:type="continuationSeparator" w:id="0">
    <w:p w:rsidR="009D269B" w:rsidRDefault="009D269B" w:rsidP="009D2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9B" w:rsidRDefault="009D269B" w:rsidP="009D269B">
    <w:pPr>
      <w:pStyle w:val="Header"/>
      <w:jc w:val="center"/>
    </w:pPr>
    <w:r>
      <w:t>Evidentiary Hearing Quick Reference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2B7F"/>
    <w:multiLevelType w:val="hybridMultilevel"/>
    <w:tmpl w:val="EABAA030"/>
    <w:lvl w:ilvl="0" w:tplc="039829D2">
      <w:start w:val="1"/>
      <w:numFmt w:val="bullet"/>
      <w:lvlText w:val=""/>
      <w:lvlJc w:val="left"/>
      <w:pPr>
        <w:tabs>
          <w:tab w:val="num" w:pos="720"/>
        </w:tabs>
        <w:ind w:left="720" w:hanging="360"/>
      </w:pPr>
      <w:rPr>
        <w:rFonts w:ascii="Wingdings 2" w:hAnsi="Wingdings 2" w:hint="default"/>
      </w:rPr>
    </w:lvl>
    <w:lvl w:ilvl="1" w:tplc="E3E696C6">
      <w:numFmt w:val="bullet"/>
      <w:lvlText w:val=""/>
      <w:lvlJc w:val="left"/>
      <w:pPr>
        <w:tabs>
          <w:tab w:val="num" w:pos="1440"/>
        </w:tabs>
        <w:ind w:left="1440" w:hanging="360"/>
      </w:pPr>
      <w:rPr>
        <w:rFonts w:ascii="Wingdings 2" w:hAnsi="Wingdings 2" w:hint="default"/>
      </w:rPr>
    </w:lvl>
    <w:lvl w:ilvl="2" w:tplc="D364452C" w:tentative="1">
      <w:start w:val="1"/>
      <w:numFmt w:val="bullet"/>
      <w:lvlText w:val=""/>
      <w:lvlJc w:val="left"/>
      <w:pPr>
        <w:tabs>
          <w:tab w:val="num" w:pos="2160"/>
        </w:tabs>
        <w:ind w:left="2160" w:hanging="360"/>
      </w:pPr>
      <w:rPr>
        <w:rFonts w:ascii="Wingdings 2" w:hAnsi="Wingdings 2" w:hint="default"/>
      </w:rPr>
    </w:lvl>
    <w:lvl w:ilvl="3" w:tplc="105CF05A" w:tentative="1">
      <w:start w:val="1"/>
      <w:numFmt w:val="bullet"/>
      <w:lvlText w:val=""/>
      <w:lvlJc w:val="left"/>
      <w:pPr>
        <w:tabs>
          <w:tab w:val="num" w:pos="2880"/>
        </w:tabs>
        <w:ind w:left="2880" w:hanging="360"/>
      </w:pPr>
      <w:rPr>
        <w:rFonts w:ascii="Wingdings 2" w:hAnsi="Wingdings 2" w:hint="default"/>
      </w:rPr>
    </w:lvl>
    <w:lvl w:ilvl="4" w:tplc="445E32EE" w:tentative="1">
      <w:start w:val="1"/>
      <w:numFmt w:val="bullet"/>
      <w:lvlText w:val=""/>
      <w:lvlJc w:val="left"/>
      <w:pPr>
        <w:tabs>
          <w:tab w:val="num" w:pos="3600"/>
        </w:tabs>
        <w:ind w:left="3600" w:hanging="360"/>
      </w:pPr>
      <w:rPr>
        <w:rFonts w:ascii="Wingdings 2" w:hAnsi="Wingdings 2" w:hint="default"/>
      </w:rPr>
    </w:lvl>
    <w:lvl w:ilvl="5" w:tplc="3244C596" w:tentative="1">
      <w:start w:val="1"/>
      <w:numFmt w:val="bullet"/>
      <w:lvlText w:val=""/>
      <w:lvlJc w:val="left"/>
      <w:pPr>
        <w:tabs>
          <w:tab w:val="num" w:pos="4320"/>
        </w:tabs>
        <w:ind w:left="4320" w:hanging="360"/>
      </w:pPr>
      <w:rPr>
        <w:rFonts w:ascii="Wingdings 2" w:hAnsi="Wingdings 2" w:hint="default"/>
      </w:rPr>
    </w:lvl>
    <w:lvl w:ilvl="6" w:tplc="918C3D14" w:tentative="1">
      <w:start w:val="1"/>
      <w:numFmt w:val="bullet"/>
      <w:lvlText w:val=""/>
      <w:lvlJc w:val="left"/>
      <w:pPr>
        <w:tabs>
          <w:tab w:val="num" w:pos="5040"/>
        </w:tabs>
        <w:ind w:left="5040" w:hanging="360"/>
      </w:pPr>
      <w:rPr>
        <w:rFonts w:ascii="Wingdings 2" w:hAnsi="Wingdings 2" w:hint="default"/>
      </w:rPr>
    </w:lvl>
    <w:lvl w:ilvl="7" w:tplc="85A69FE2" w:tentative="1">
      <w:start w:val="1"/>
      <w:numFmt w:val="bullet"/>
      <w:lvlText w:val=""/>
      <w:lvlJc w:val="left"/>
      <w:pPr>
        <w:tabs>
          <w:tab w:val="num" w:pos="5760"/>
        </w:tabs>
        <w:ind w:left="5760" w:hanging="360"/>
      </w:pPr>
      <w:rPr>
        <w:rFonts w:ascii="Wingdings 2" w:hAnsi="Wingdings 2" w:hint="default"/>
      </w:rPr>
    </w:lvl>
    <w:lvl w:ilvl="8" w:tplc="0A0E3DCE" w:tentative="1">
      <w:start w:val="1"/>
      <w:numFmt w:val="bullet"/>
      <w:lvlText w:val=""/>
      <w:lvlJc w:val="left"/>
      <w:pPr>
        <w:tabs>
          <w:tab w:val="num" w:pos="6480"/>
        </w:tabs>
        <w:ind w:left="6480" w:hanging="360"/>
      </w:pPr>
      <w:rPr>
        <w:rFonts w:ascii="Wingdings 2" w:hAnsi="Wingdings 2" w:hint="default"/>
      </w:rPr>
    </w:lvl>
  </w:abstractNum>
  <w:abstractNum w:abstractNumId="1">
    <w:nsid w:val="09F950B8"/>
    <w:multiLevelType w:val="hybridMultilevel"/>
    <w:tmpl w:val="E4867ACA"/>
    <w:lvl w:ilvl="0" w:tplc="184675CC">
      <w:start w:val="1"/>
      <w:numFmt w:val="bullet"/>
      <w:lvlText w:val=""/>
      <w:lvlJc w:val="left"/>
      <w:pPr>
        <w:tabs>
          <w:tab w:val="num" w:pos="720"/>
        </w:tabs>
        <w:ind w:left="720" w:hanging="360"/>
      </w:pPr>
      <w:rPr>
        <w:rFonts w:ascii="Wingdings 2" w:hAnsi="Wingdings 2" w:hint="default"/>
      </w:rPr>
    </w:lvl>
    <w:lvl w:ilvl="1" w:tplc="A3A2005A">
      <w:numFmt w:val="bullet"/>
      <w:lvlText w:val=""/>
      <w:lvlJc w:val="left"/>
      <w:pPr>
        <w:tabs>
          <w:tab w:val="num" w:pos="1440"/>
        </w:tabs>
        <w:ind w:left="1440" w:hanging="360"/>
      </w:pPr>
      <w:rPr>
        <w:rFonts w:ascii="Wingdings 2" w:hAnsi="Wingdings 2" w:hint="default"/>
      </w:rPr>
    </w:lvl>
    <w:lvl w:ilvl="2" w:tplc="EA5E9964">
      <w:numFmt w:val="bullet"/>
      <w:lvlText w:val=""/>
      <w:lvlJc w:val="left"/>
      <w:pPr>
        <w:tabs>
          <w:tab w:val="num" w:pos="2160"/>
        </w:tabs>
        <w:ind w:left="2160" w:hanging="360"/>
      </w:pPr>
      <w:rPr>
        <w:rFonts w:ascii="Wingdings 2" w:hAnsi="Wingdings 2" w:hint="default"/>
      </w:rPr>
    </w:lvl>
    <w:lvl w:ilvl="3" w:tplc="2104120A" w:tentative="1">
      <w:start w:val="1"/>
      <w:numFmt w:val="bullet"/>
      <w:lvlText w:val=""/>
      <w:lvlJc w:val="left"/>
      <w:pPr>
        <w:tabs>
          <w:tab w:val="num" w:pos="2880"/>
        </w:tabs>
        <w:ind w:left="2880" w:hanging="360"/>
      </w:pPr>
      <w:rPr>
        <w:rFonts w:ascii="Wingdings 2" w:hAnsi="Wingdings 2" w:hint="default"/>
      </w:rPr>
    </w:lvl>
    <w:lvl w:ilvl="4" w:tplc="91284D54" w:tentative="1">
      <w:start w:val="1"/>
      <w:numFmt w:val="bullet"/>
      <w:lvlText w:val=""/>
      <w:lvlJc w:val="left"/>
      <w:pPr>
        <w:tabs>
          <w:tab w:val="num" w:pos="3600"/>
        </w:tabs>
        <w:ind w:left="3600" w:hanging="360"/>
      </w:pPr>
      <w:rPr>
        <w:rFonts w:ascii="Wingdings 2" w:hAnsi="Wingdings 2" w:hint="default"/>
      </w:rPr>
    </w:lvl>
    <w:lvl w:ilvl="5" w:tplc="F4F270B0" w:tentative="1">
      <w:start w:val="1"/>
      <w:numFmt w:val="bullet"/>
      <w:lvlText w:val=""/>
      <w:lvlJc w:val="left"/>
      <w:pPr>
        <w:tabs>
          <w:tab w:val="num" w:pos="4320"/>
        </w:tabs>
        <w:ind w:left="4320" w:hanging="360"/>
      </w:pPr>
      <w:rPr>
        <w:rFonts w:ascii="Wingdings 2" w:hAnsi="Wingdings 2" w:hint="default"/>
      </w:rPr>
    </w:lvl>
    <w:lvl w:ilvl="6" w:tplc="A00ECD9E" w:tentative="1">
      <w:start w:val="1"/>
      <w:numFmt w:val="bullet"/>
      <w:lvlText w:val=""/>
      <w:lvlJc w:val="left"/>
      <w:pPr>
        <w:tabs>
          <w:tab w:val="num" w:pos="5040"/>
        </w:tabs>
        <w:ind w:left="5040" w:hanging="360"/>
      </w:pPr>
      <w:rPr>
        <w:rFonts w:ascii="Wingdings 2" w:hAnsi="Wingdings 2" w:hint="default"/>
      </w:rPr>
    </w:lvl>
    <w:lvl w:ilvl="7" w:tplc="D4FA1E08" w:tentative="1">
      <w:start w:val="1"/>
      <w:numFmt w:val="bullet"/>
      <w:lvlText w:val=""/>
      <w:lvlJc w:val="left"/>
      <w:pPr>
        <w:tabs>
          <w:tab w:val="num" w:pos="5760"/>
        </w:tabs>
        <w:ind w:left="5760" w:hanging="360"/>
      </w:pPr>
      <w:rPr>
        <w:rFonts w:ascii="Wingdings 2" w:hAnsi="Wingdings 2" w:hint="default"/>
      </w:rPr>
    </w:lvl>
    <w:lvl w:ilvl="8" w:tplc="68AC1D92" w:tentative="1">
      <w:start w:val="1"/>
      <w:numFmt w:val="bullet"/>
      <w:lvlText w:val=""/>
      <w:lvlJc w:val="left"/>
      <w:pPr>
        <w:tabs>
          <w:tab w:val="num" w:pos="6480"/>
        </w:tabs>
        <w:ind w:left="6480" w:hanging="360"/>
      </w:pPr>
      <w:rPr>
        <w:rFonts w:ascii="Wingdings 2" w:hAnsi="Wingdings 2" w:hint="default"/>
      </w:rPr>
    </w:lvl>
  </w:abstractNum>
  <w:abstractNum w:abstractNumId="2">
    <w:nsid w:val="11EC3B02"/>
    <w:multiLevelType w:val="hybridMultilevel"/>
    <w:tmpl w:val="DCE84398"/>
    <w:lvl w:ilvl="0" w:tplc="981605EE">
      <w:start w:val="1"/>
      <w:numFmt w:val="bullet"/>
      <w:lvlText w:val=""/>
      <w:lvlJc w:val="left"/>
      <w:pPr>
        <w:tabs>
          <w:tab w:val="num" w:pos="360"/>
        </w:tabs>
        <w:ind w:left="360" w:hanging="360"/>
      </w:pPr>
      <w:rPr>
        <w:rFonts w:ascii="Wingdings 2" w:hAnsi="Wingdings 2" w:hint="default"/>
      </w:rPr>
    </w:lvl>
    <w:lvl w:ilvl="1" w:tplc="F490F434">
      <w:numFmt w:val="bullet"/>
      <w:lvlText w:val=""/>
      <w:lvlJc w:val="left"/>
      <w:pPr>
        <w:tabs>
          <w:tab w:val="num" w:pos="1080"/>
        </w:tabs>
        <w:ind w:left="1080" w:hanging="360"/>
      </w:pPr>
      <w:rPr>
        <w:rFonts w:ascii="Wingdings 2" w:hAnsi="Wingdings 2" w:hint="default"/>
      </w:rPr>
    </w:lvl>
    <w:lvl w:ilvl="2" w:tplc="15907512">
      <w:numFmt w:val="bullet"/>
      <w:lvlText w:val=""/>
      <w:lvlJc w:val="left"/>
      <w:pPr>
        <w:tabs>
          <w:tab w:val="num" w:pos="1800"/>
        </w:tabs>
        <w:ind w:left="1800" w:hanging="360"/>
      </w:pPr>
      <w:rPr>
        <w:rFonts w:ascii="Wingdings 2" w:hAnsi="Wingdings 2" w:hint="default"/>
      </w:rPr>
    </w:lvl>
    <w:lvl w:ilvl="3" w:tplc="A56ED7CE" w:tentative="1">
      <w:start w:val="1"/>
      <w:numFmt w:val="bullet"/>
      <w:lvlText w:val=""/>
      <w:lvlJc w:val="left"/>
      <w:pPr>
        <w:tabs>
          <w:tab w:val="num" w:pos="2520"/>
        </w:tabs>
        <w:ind w:left="2520" w:hanging="360"/>
      </w:pPr>
      <w:rPr>
        <w:rFonts w:ascii="Wingdings 2" w:hAnsi="Wingdings 2" w:hint="default"/>
      </w:rPr>
    </w:lvl>
    <w:lvl w:ilvl="4" w:tplc="B6E4C2A2" w:tentative="1">
      <w:start w:val="1"/>
      <w:numFmt w:val="bullet"/>
      <w:lvlText w:val=""/>
      <w:lvlJc w:val="left"/>
      <w:pPr>
        <w:tabs>
          <w:tab w:val="num" w:pos="3240"/>
        </w:tabs>
        <w:ind w:left="3240" w:hanging="360"/>
      </w:pPr>
      <w:rPr>
        <w:rFonts w:ascii="Wingdings 2" w:hAnsi="Wingdings 2" w:hint="default"/>
      </w:rPr>
    </w:lvl>
    <w:lvl w:ilvl="5" w:tplc="603A0230" w:tentative="1">
      <w:start w:val="1"/>
      <w:numFmt w:val="bullet"/>
      <w:lvlText w:val=""/>
      <w:lvlJc w:val="left"/>
      <w:pPr>
        <w:tabs>
          <w:tab w:val="num" w:pos="3960"/>
        </w:tabs>
        <w:ind w:left="3960" w:hanging="360"/>
      </w:pPr>
      <w:rPr>
        <w:rFonts w:ascii="Wingdings 2" w:hAnsi="Wingdings 2" w:hint="default"/>
      </w:rPr>
    </w:lvl>
    <w:lvl w:ilvl="6" w:tplc="2B002062" w:tentative="1">
      <w:start w:val="1"/>
      <w:numFmt w:val="bullet"/>
      <w:lvlText w:val=""/>
      <w:lvlJc w:val="left"/>
      <w:pPr>
        <w:tabs>
          <w:tab w:val="num" w:pos="4680"/>
        </w:tabs>
        <w:ind w:left="4680" w:hanging="360"/>
      </w:pPr>
      <w:rPr>
        <w:rFonts w:ascii="Wingdings 2" w:hAnsi="Wingdings 2" w:hint="default"/>
      </w:rPr>
    </w:lvl>
    <w:lvl w:ilvl="7" w:tplc="DB283A20" w:tentative="1">
      <w:start w:val="1"/>
      <w:numFmt w:val="bullet"/>
      <w:lvlText w:val=""/>
      <w:lvlJc w:val="left"/>
      <w:pPr>
        <w:tabs>
          <w:tab w:val="num" w:pos="5400"/>
        </w:tabs>
        <w:ind w:left="5400" w:hanging="360"/>
      </w:pPr>
      <w:rPr>
        <w:rFonts w:ascii="Wingdings 2" w:hAnsi="Wingdings 2" w:hint="default"/>
      </w:rPr>
    </w:lvl>
    <w:lvl w:ilvl="8" w:tplc="3618B820" w:tentative="1">
      <w:start w:val="1"/>
      <w:numFmt w:val="bullet"/>
      <w:lvlText w:val=""/>
      <w:lvlJc w:val="left"/>
      <w:pPr>
        <w:tabs>
          <w:tab w:val="num" w:pos="6120"/>
        </w:tabs>
        <w:ind w:left="6120" w:hanging="360"/>
      </w:pPr>
      <w:rPr>
        <w:rFonts w:ascii="Wingdings 2" w:hAnsi="Wingdings 2"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D0"/>
    <w:rsid w:val="00023EE3"/>
    <w:rsid w:val="00480886"/>
    <w:rsid w:val="007A71CF"/>
    <w:rsid w:val="009514D0"/>
    <w:rsid w:val="009D269B"/>
    <w:rsid w:val="00BD5B86"/>
    <w:rsid w:val="00C41E70"/>
    <w:rsid w:val="00C51D3B"/>
    <w:rsid w:val="00C85274"/>
    <w:rsid w:val="00D23A4B"/>
    <w:rsid w:val="00D55A02"/>
    <w:rsid w:val="00F86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69B"/>
    <w:pPr>
      <w:tabs>
        <w:tab w:val="center" w:pos="4680"/>
        <w:tab w:val="right" w:pos="9360"/>
      </w:tabs>
    </w:pPr>
  </w:style>
  <w:style w:type="character" w:customStyle="1" w:styleId="HeaderChar">
    <w:name w:val="Header Char"/>
    <w:basedOn w:val="DefaultParagraphFont"/>
    <w:link w:val="Header"/>
    <w:uiPriority w:val="99"/>
    <w:rsid w:val="009D269B"/>
  </w:style>
  <w:style w:type="paragraph" w:styleId="Footer">
    <w:name w:val="footer"/>
    <w:basedOn w:val="Normal"/>
    <w:link w:val="FooterChar"/>
    <w:uiPriority w:val="99"/>
    <w:unhideWhenUsed/>
    <w:rsid w:val="009D269B"/>
    <w:pPr>
      <w:tabs>
        <w:tab w:val="center" w:pos="4680"/>
        <w:tab w:val="right" w:pos="9360"/>
      </w:tabs>
    </w:pPr>
  </w:style>
  <w:style w:type="character" w:customStyle="1" w:styleId="FooterChar">
    <w:name w:val="Footer Char"/>
    <w:basedOn w:val="DefaultParagraphFont"/>
    <w:link w:val="Footer"/>
    <w:uiPriority w:val="99"/>
    <w:rsid w:val="009D26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69B"/>
    <w:pPr>
      <w:tabs>
        <w:tab w:val="center" w:pos="4680"/>
        <w:tab w:val="right" w:pos="9360"/>
      </w:tabs>
    </w:pPr>
  </w:style>
  <w:style w:type="character" w:customStyle="1" w:styleId="HeaderChar">
    <w:name w:val="Header Char"/>
    <w:basedOn w:val="DefaultParagraphFont"/>
    <w:link w:val="Header"/>
    <w:uiPriority w:val="99"/>
    <w:rsid w:val="009D269B"/>
  </w:style>
  <w:style w:type="paragraph" w:styleId="Footer">
    <w:name w:val="footer"/>
    <w:basedOn w:val="Normal"/>
    <w:link w:val="FooterChar"/>
    <w:uiPriority w:val="99"/>
    <w:unhideWhenUsed/>
    <w:rsid w:val="009D269B"/>
    <w:pPr>
      <w:tabs>
        <w:tab w:val="center" w:pos="4680"/>
        <w:tab w:val="right" w:pos="9360"/>
      </w:tabs>
    </w:pPr>
  </w:style>
  <w:style w:type="character" w:customStyle="1" w:styleId="FooterChar">
    <w:name w:val="Footer Char"/>
    <w:basedOn w:val="DefaultParagraphFont"/>
    <w:link w:val="Footer"/>
    <w:uiPriority w:val="99"/>
    <w:rsid w:val="009D2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85459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13">
          <w:marLeft w:val="432"/>
          <w:marRight w:val="0"/>
          <w:marTop w:val="58"/>
          <w:marBottom w:val="0"/>
          <w:divBdr>
            <w:top w:val="none" w:sz="0" w:space="0" w:color="auto"/>
            <w:left w:val="none" w:sz="0" w:space="0" w:color="auto"/>
            <w:bottom w:val="none" w:sz="0" w:space="0" w:color="auto"/>
            <w:right w:val="none" w:sz="0" w:space="0" w:color="auto"/>
          </w:divBdr>
        </w:div>
        <w:div w:id="771361766">
          <w:marLeft w:val="1008"/>
          <w:marRight w:val="0"/>
          <w:marTop w:val="53"/>
          <w:marBottom w:val="0"/>
          <w:divBdr>
            <w:top w:val="none" w:sz="0" w:space="0" w:color="auto"/>
            <w:left w:val="none" w:sz="0" w:space="0" w:color="auto"/>
            <w:bottom w:val="none" w:sz="0" w:space="0" w:color="auto"/>
            <w:right w:val="none" w:sz="0" w:space="0" w:color="auto"/>
          </w:divBdr>
        </w:div>
      </w:divsChild>
    </w:div>
    <w:div w:id="1531456392">
      <w:bodyDiv w:val="1"/>
      <w:marLeft w:val="0"/>
      <w:marRight w:val="0"/>
      <w:marTop w:val="0"/>
      <w:marBottom w:val="0"/>
      <w:divBdr>
        <w:top w:val="none" w:sz="0" w:space="0" w:color="auto"/>
        <w:left w:val="none" w:sz="0" w:space="0" w:color="auto"/>
        <w:bottom w:val="none" w:sz="0" w:space="0" w:color="auto"/>
        <w:right w:val="none" w:sz="0" w:space="0" w:color="auto"/>
      </w:divBdr>
      <w:divsChild>
        <w:div w:id="1529368112">
          <w:marLeft w:val="432"/>
          <w:marRight w:val="0"/>
          <w:marTop w:val="77"/>
          <w:marBottom w:val="0"/>
          <w:divBdr>
            <w:top w:val="none" w:sz="0" w:space="0" w:color="auto"/>
            <w:left w:val="none" w:sz="0" w:space="0" w:color="auto"/>
            <w:bottom w:val="none" w:sz="0" w:space="0" w:color="auto"/>
            <w:right w:val="none" w:sz="0" w:space="0" w:color="auto"/>
          </w:divBdr>
        </w:div>
        <w:div w:id="1303735166">
          <w:marLeft w:val="1440"/>
          <w:marRight w:val="0"/>
          <w:marTop w:val="62"/>
          <w:marBottom w:val="0"/>
          <w:divBdr>
            <w:top w:val="none" w:sz="0" w:space="0" w:color="auto"/>
            <w:left w:val="none" w:sz="0" w:space="0" w:color="auto"/>
            <w:bottom w:val="none" w:sz="0" w:space="0" w:color="auto"/>
            <w:right w:val="none" w:sz="0" w:space="0" w:color="auto"/>
          </w:divBdr>
        </w:div>
        <w:div w:id="1718697525">
          <w:marLeft w:val="432"/>
          <w:marRight w:val="0"/>
          <w:marTop w:val="77"/>
          <w:marBottom w:val="0"/>
          <w:divBdr>
            <w:top w:val="none" w:sz="0" w:space="0" w:color="auto"/>
            <w:left w:val="none" w:sz="0" w:space="0" w:color="auto"/>
            <w:bottom w:val="none" w:sz="0" w:space="0" w:color="auto"/>
            <w:right w:val="none" w:sz="0" w:space="0" w:color="auto"/>
          </w:divBdr>
        </w:div>
        <w:div w:id="1883596309">
          <w:marLeft w:val="1008"/>
          <w:marRight w:val="0"/>
          <w:marTop w:val="72"/>
          <w:marBottom w:val="0"/>
          <w:divBdr>
            <w:top w:val="none" w:sz="0" w:space="0" w:color="auto"/>
            <w:left w:val="none" w:sz="0" w:space="0" w:color="auto"/>
            <w:bottom w:val="none" w:sz="0" w:space="0" w:color="auto"/>
            <w:right w:val="none" w:sz="0" w:space="0" w:color="auto"/>
          </w:divBdr>
        </w:div>
        <w:div w:id="1703700817">
          <w:marLeft w:val="432"/>
          <w:marRight w:val="0"/>
          <w:marTop w:val="77"/>
          <w:marBottom w:val="0"/>
          <w:divBdr>
            <w:top w:val="none" w:sz="0" w:space="0" w:color="auto"/>
            <w:left w:val="none" w:sz="0" w:space="0" w:color="auto"/>
            <w:bottom w:val="none" w:sz="0" w:space="0" w:color="auto"/>
            <w:right w:val="none" w:sz="0" w:space="0" w:color="auto"/>
          </w:divBdr>
        </w:div>
        <w:div w:id="432626132">
          <w:marLeft w:val="1008"/>
          <w:marRight w:val="0"/>
          <w:marTop w:val="72"/>
          <w:marBottom w:val="0"/>
          <w:divBdr>
            <w:top w:val="none" w:sz="0" w:space="0" w:color="auto"/>
            <w:left w:val="none" w:sz="0" w:space="0" w:color="auto"/>
            <w:bottom w:val="none" w:sz="0" w:space="0" w:color="auto"/>
            <w:right w:val="none" w:sz="0" w:space="0" w:color="auto"/>
          </w:divBdr>
        </w:div>
        <w:div w:id="544490573">
          <w:marLeft w:val="432"/>
          <w:marRight w:val="0"/>
          <w:marTop w:val="77"/>
          <w:marBottom w:val="0"/>
          <w:divBdr>
            <w:top w:val="none" w:sz="0" w:space="0" w:color="auto"/>
            <w:left w:val="none" w:sz="0" w:space="0" w:color="auto"/>
            <w:bottom w:val="none" w:sz="0" w:space="0" w:color="auto"/>
            <w:right w:val="none" w:sz="0" w:space="0" w:color="auto"/>
          </w:divBdr>
        </w:div>
        <w:div w:id="295716762">
          <w:marLeft w:val="1008"/>
          <w:marRight w:val="0"/>
          <w:marTop w:val="72"/>
          <w:marBottom w:val="0"/>
          <w:divBdr>
            <w:top w:val="none" w:sz="0" w:space="0" w:color="auto"/>
            <w:left w:val="none" w:sz="0" w:space="0" w:color="auto"/>
            <w:bottom w:val="none" w:sz="0" w:space="0" w:color="auto"/>
            <w:right w:val="none" w:sz="0" w:space="0" w:color="auto"/>
          </w:divBdr>
        </w:div>
        <w:div w:id="1090933434">
          <w:marLeft w:val="1440"/>
          <w:marRight w:val="0"/>
          <w:marTop w:val="62"/>
          <w:marBottom w:val="0"/>
          <w:divBdr>
            <w:top w:val="none" w:sz="0" w:space="0" w:color="auto"/>
            <w:left w:val="none" w:sz="0" w:space="0" w:color="auto"/>
            <w:bottom w:val="none" w:sz="0" w:space="0" w:color="auto"/>
            <w:right w:val="none" w:sz="0" w:space="0" w:color="auto"/>
          </w:divBdr>
        </w:div>
      </w:divsChild>
    </w:div>
    <w:div w:id="1592814929">
      <w:bodyDiv w:val="1"/>
      <w:marLeft w:val="0"/>
      <w:marRight w:val="0"/>
      <w:marTop w:val="0"/>
      <w:marBottom w:val="0"/>
      <w:divBdr>
        <w:top w:val="none" w:sz="0" w:space="0" w:color="auto"/>
        <w:left w:val="none" w:sz="0" w:space="0" w:color="auto"/>
        <w:bottom w:val="none" w:sz="0" w:space="0" w:color="auto"/>
        <w:right w:val="none" w:sz="0" w:space="0" w:color="auto"/>
      </w:divBdr>
      <w:divsChild>
        <w:div w:id="1466196459">
          <w:marLeft w:val="432"/>
          <w:marRight w:val="0"/>
          <w:marTop w:val="77"/>
          <w:marBottom w:val="0"/>
          <w:divBdr>
            <w:top w:val="none" w:sz="0" w:space="0" w:color="auto"/>
            <w:left w:val="none" w:sz="0" w:space="0" w:color="auto"/>
            <w:bottom w:val="none" w:sz="0" w:space="0" w:color="auto"/>
            <w:right w:val="none" w:sz="0" w:space="0" w:color="auto"/>
          </w:divBdr>
        </w:div>
        <w:div w:id="217740210">
          <w:marLeft w:val="1008"/>
          <w:marRight w:val="0"/>
          <w:marTop w:val="72"/>
          <w:marBottom w:val="0"/>
          <w:divBdr>
            <w:top w:val="none" w:sz="0" w:space="0" w:color="auto"/>
            <w:left w:val="none" w:sz="0" w:space="0" w:color="auto"/>
            <w:bottom w:val="none" w:sz="0" w:space="0" w:color="auto"/>
            <w:right w:val="none" w:sz="0" w:space="0" w:color="auto"/>
          </w:divBdr>
        </w:div>
        <w:div w:id="460196221">
          <w:marLeft w:val="1008"/>
          <w:marRight w:val="0"/>
          <w:marTop w:val="72"/>
          <w:marBottom w:val="0"/>
          <w:divBdr>
            <w:top w:val="none" w:sz="0" w:space="0" w:color="auto"/>
            <w:left w:val="none" w:sz="0" w:space="0" w:color="auto"/>
            <w:bottom w:val="none" w:sz="0" w:space="0" w:color="auto"/>
            <w:right w:val="none" w:sz="0" w:space="0" w:color="auto"/>
          </w:divBdr>
        </w:div>
        <w:div w:id="589705928">
          <w:marLeft w:val="1440"/>
          <w:marRight w:val="0"/>
          <w:marTop w:val="62"/>
          <w:marBottom w:val="0"/>
          <w:divBdr>
            <w:top w:val="none" w:sz="0" w:space="0" w:color="auto"/>
            <w:left w:val="none" w:sz="0" w:space="0" w:color="auto"/>
            <w:bottom w:val="none" w:sz="0" w:space="0" w:color="auto"/>
            <w:right w:val="none" w:sz="0" w:space="0" w:color="auto"/>
          </w:divBdr>
        </w:div>
        <w:div w:id="10420406">
          <w:marLeft w:val="1008"/>
          <w:marRight w:val="0"/>
          <w:marTop w:val="72"/>
          <w:marBottom w:val="0"/>
          <w:divBdr>
            <w:top w:val="none" w:sz="0" w:space="0" w:color="auto"/>
            <w:left w:val="none" w:sz="0" w:space="0" w:color="auto"/>
            <w:bottom w:val="none" w:sz="0" w:space="0" w:color="auto"/>
            <w:right w:val="none" w:sz="0" w:space="0" w:color="auto"/>
          </w:divBdr>
        </w:div>
        <w:div w:id="797456259">
          <w:marLeft w:val="1440"/>
          <w:marRight w:val="0"/>
          <w:marTop w:val="62"/>
          <w:marBottom w:val="0"/>
          <w:divBdr>
            <w:top w:val="none" w:sz="0" w:space="0" w:color="auto"/>
            <w:left w:val="none" w:sz="0" w:space="0" w:color="auto"/>
            <w:bottom w:val="none" w:sz="0" w:space="0" w:color="auto"/>
            <w:right w:val="none" w:sz="0" w:space="0" w:color="auto"/>
          </w:divBdr>
        </w:div>
        <w:div w:id="1472596383">
          <w:marLeft w:val="432"/>
          <w:marRight w:val="0"/>
          <w:marTop w:val="77"/>
          <w:marBottom w:val="0"/>
          <w:divBdr>
            <w:top w:val="none" w:sz="0" w:space="0" w:color="auto"/>
            <w:left w:val="none" w:sz="0" w:space="0" w:color="auto"/>
            <w:bottom w:val="none" w:sz="0" w:space="0" w:color="auto"/>
            <w:right w:val="none" w:sz="0" w:space="0" w:color="auto"/>
          </w:divBdr>
        </w:div>
        <w:div w:id="1371035879">
          <w:marLeft w:val="1008"/>
          <w:marRight w:val="0"/>
          <w:marTop w:val="72"/>
          <w:marBottom w:val="0"/>
          <w:divBdr>
            <w:top w:val="none" w:sz="0" w:space="0" w:color="auto"/>
            <w:left w:val="none" w:sz="0" w:space="0" w:color="auto"/>
            <w:bottom w:val="none" w:sz="0" w:space="0" w:color="auto"/>
            <w:right w:val="none" w:sz="0" w:space="0" w:color="auto"/>
          </w:divBdr>
        </w:div>
        <w:div w:id="974455146">
          <w:marLeft w:val="432"/>
          <w:marRight w:val="0"/>
          <w:marTop w:val="77"/>
          <w:marBottom w:val="0"/>
          <w:divBdr>
            <w:top w:val="none" w:sz="0" w:space="0" w:color="auto"/>
            <w:left w:val="none" w:sz="0" w:space="0" w:color="auto"/>
            <w:bottom w:val="none" w:sz="0" w:space="0" w:color="auto"/>
            <w:right w:val="none" w:sz="0" w:space="0" w:color="auto"/>
          </w:divBdr>
        </w:div>
        <w:div w:id="44381597">
          <w:marLeft w:val="1008"/>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54001A2D</Template>
  <TotalTime>8</TotalTime>
  <Pages>3</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hfinn</dc:creator>
  <cp:lastModifiedBy>hfinn</cp:lastModifiedBy>
  <cp:revision>12</cp:revision>
  <dcterms:created xsi:type="dcterms:W3CDTF">2019-04-23T19:14:00Z</dcterms:created>
  <dcterms:modified xsi:type="dcterms:W3CDTF">2019-04-23T19:23:00Z</dcterms:modified>
</cp:coreProperties>
</file>