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B0951" w:rsidRDefault="00BE09B9" w:rsidP="00CB34DF">
      <w:pPr>
        <w:numPr>
          <w:ilvl w:val="0"/>
          <w:numId w:val="6"/>
        </w:numPr>
      </w:pPr>
      <w:r w:rsidRPr="00AB0951">
        <w:t>The Process</w:t>
      </w:r>
    </w:p>
    <w:p w:rsidR="00F11034" w:rsidRDefault="00CB34DF" w:rsidP="00F11034">
      <w:pPr>
        <w:numPr>
          <w:ilvl w:val="1"/>
          <w:numId w:val="6"/>
        </w:numPr>
      </w:pPr>
      <w:r>
        <w:t>Prisoner must file a petition</w:t>
      </w:r>
    </w:p>
    <w:p w:rsidR="00F11034" w:rsidRDefault="00CB34DF" w:rsidP="00F11034">
      <w:pPr>
        <w:numPr>
          <w:ilvl w:val="2"/>
          <w:numId w:val="6"/>
        </w:numPr>
      </w:pPr>
      <w:r>
        <w:t>There is no right to counsel in federal habeas</w:t>
      </w:r>
      <w:r w:rsidR="00F11034">
        <w:t xml:space="preserve"> proceedings. </w:t>
      </w:r>
      <w:proofErr w:type="spellStart"/>
      <w:r w:rsidR="00F11034" w:rsidRPr="00F11034">
        <w:rPr>
          <w:i/>
        </w:rPr>
        <w:t>McClesky</w:t>
      </w:r>
      <w:proofErr w:type="spellEnd"/>
      <w:r w:rsidR="00F11034" w:rsidRPr="00F11034">
        <w:rPr>
          <w:i/>
        </w:rPr>
        <w:t xml:space="preserve"> v. </w:t>
      </w:r>
      <w:proofErr w:type="spellStart"/>
      <w:r w:rsidR="00F11034" w:rsidRPr="00F11034">
        <w:rPr>
          <w:i/>
        </w:rPr>
        <w:t>Zant</w:t>
      </w:r>
      <w:proofErr w:type="spellEnd"/>
      <w:r w:rsidR="00F11034" w:rsidRPr="00F11034">
        <w:rPr>
          <w:i/>
        </w:rPr>
        <w:t>,</w:t>
      </w:r>
      <w:r w:rsidR="00F11034" w:rsidRPr="00231CCD">
        <w:t xml:space="preserve"> 499 U.S. 467, 494 (1991)</w:t>
      </w:r>
    </w:p>
    <w:p w:rsidR="00F11034" w:rsidRPr="00AB0951" w:rsidRDefault="00F11034" w:rsidP="00F11034">
      <w:pPr>
        <w:numPr>
          <w:ilvl w:val="2"/>
          <w:numId w:val="6"/>
        </w:numPr>
      </w:pPr>
      <w:r>
        <w:t>Petitioner can be filed</w:t>
      </w:r>
      <w:r w:rsidRPr="00AB0951">
        <w:t xml:space="preserve"> in either the district in which the petitioner is in custody or in the district in which the state court entered its judgment</w:t>
      </w:r>
      <w:proofErr w:type="gramStart"/>
      <w:r w:rsidRPr="00AB0951">
        <w:t xml:space="preserve">.  </w:t>
      </w:r>
      <w:proofErr w:type="gramEnd"/>
      <w:r w:rsidRPr="00AB0951">
        <w:t>28 U.S.C. § 2241(d).</w:t>
      </w:r>
    </w:p>
    <w:p w:rsidR="00000000" w:rsidRPr="00AB0951" w:rsidRDefault="00BE09B9" w:rsidP="00CB34DF">
      <w:pPr>
        <w:numPr>
          <w:ilvl w:val="1"/>
          <w:numId w:val="6"/>
        </w:numPr>
      </w:pPr>
      <w:r w:rsidRPr="00AB0951">
        <w:t>Government ordered to respond.</w:t>
      </w:r>
    </w:p>
    <w:p w:rsidR="00000000" w:rsidRPr="00AB0951" w:rsidRDefault="00195E09" w:rsidP="00CB34DF">
      <w:pPr>
        <w:numPr>
          <w:ilvl w:val="2"/>
          <w:numId w:val="6"/>
        </w:numPr>
      </w:pPr>
      <w:r>
        <w:t xml:space="preserve">Must submit </w:t>
      </w:r>
      <w:r w:rsidR="00BE09B9" w:rsidRPr="00AB0951">
        <w:t>transcripts, appellate briefs,</w:t>
      </w:r>
      <w:r>
        <w:t xml:space="preserve"> and</w:t>
      </w:r>
      <w:r w:rsidR="00BE09B9" w:rsidRPr="00AB0951">
        <w:t xml:space="preserve"> state court opinions</w:t>
      </w:r>
    </w:p>
    <w:p w:rsidR="00F11034" w:rsidRDefault="00BE09B9" w:rsidP="00F11034">
      <w:pPr>
        <w:numPr>
          <w:ilvl w:val="1"/>
          <w:numId w:val="6"/>
        </w:numPr>
      </w:pPr>
      <w:r w:rsidRPr="00AB0951">
        <w:t>Petitioner ordered to reply.</w:t>
      </w:r>
    </w:p>
    <w:p w:rsidR="00000000" w:rsidRDefault="00BE09B9" w:rsidP="00F11034">
      <w:pPr>
        <w:numPr>
          <w:ilvl w:val="1"/>
          <w:numId w:val="6"/>
        </w:numPr>
      </w:pPr>
      <w:r w:rsidRPr="00AB0951">
        <w:t xml:space="preserve">Court </w:t>
      </w:r>
      <w:r w:rsidRPr="00AB0951">
        <w:t xml:space="preserve">issues decision. </w:t>
      </w:r>
    </w:p>
    <w:p w:rsidR="00F11034" w:rsidRPr="00AB0951" w:rsidRDefault="00F11034" w:rsidP="00F11034">
      <w:pPr>
        <w:numPr>
          <w:ilvl w:val="0"/>
          <w:numId w:val="6"/>
        </w:numPr>
      </w:pPr>
      <w:r w:rsidRPr="00AB0951">
        <w:rPr>
          <w:b/>
          <w:bCs/>
        </w:rPr>
        <w:t xml:space="preserve">One-year limitation </w:t>
      </w:r>
      <w:r w:rsidRPr="00AB0951">
        <w:t>for federal habeas that starts from latest of:</w:t>
      </w:r>
    </w:p>
    <w:p w:rsidR="00F11034" w:rsidRPr="00AB0951" w:rsidRDefault="00F11034" w:rsidP="00F11034">
      <w:pPr>
        <w:numPr>
          <w:ilvl w:val="1"/>
          <w:numId w:val="6"/>
        </w:numPr>
      </w:pPr>
      <w:r w:rsidRPr="00AB0951">
        <w:t xml:space="preserve">(A) the date on which the judgment became final by the conclusion of direct review or </w:t>
      </w:r>
      <w:r w:rsidRPr="00AB0951">
        <w:rPr>
          <w:b/>
          <w:bCs/>
          <w:i/>
          <w:iCs/>
        </w:rPr>
        <w:t>the expiration of the time for seeking such review</w:t>
      </w:r>
      <w:r w:rsidRPr="00AB0951">
        <w:t>;</w:t>
      </w:r>
      <w:r w:rsidR="008A1565">
        <w:t xml:space="preserve"> or</w:t>
      </w:r>
    </w:p>
    <w:p w:rsidR="00F11034" w:rsidRDefault="00F11034" w:rsidP="00F11034">
      <w:pPr>
        <w:numPr>
          <w:ilvl w:val="1"/>
          <w:numId w:val="6"/>
        </w:numPr>
      </w:pPr>
      <w:r w:rsidRPr="00AB0951">
        <w:t>Three others: date when the impediment created by state action is removed, date of the newly recognized constitutional right, date the factual predicate could have been known through due diligence</w:t>
      </w:r>
      <w:r>
        <w:t xml:space="preserve"> </w:t>
      </w:r>
      <w:r w:rsidRPr="00AB0951">
        <w:t>28 U.S.C. § 2244 (d)(1)</w:t>
      </w:r>
    </w:p>
    <w:p w:rsidR="00F11034" w:rsidRPr="00AB0951" w:rsidRDefault="00F11034" w:rsidP="00F11034">
      <w:pPr>
        <w:numPr>
          <w:ilvl w:val="1"/>
          <w:numId w:val="6"/>
        </w:numPr>
      </w:pPr>
      <w:r>
        <w:t xml:space="preserve">Tolling </w:t>
      </w:r>
      <w:r w:rsidRPr="00AB0951">
        <w:t>of the Statute of Limitations</w:t>
      </w:r>
    </w:p>
    <w:p w:rsidR="00F11034" w:rsidRPr="00AB0951" w:rsidRDefault="00F11034" w:rsidP="00F11034">
      <w:pPr>
        <w:numPr>
          <w:ilvl w:val="2"/>
          <w:numId w:val="6"/>
        </w:numPr>
      </w:pPr>
      <w:r w:rsidRPr="00AB0951">
        <w:t xml:space="preserve">The time during which Petitioner had a </w:t>
      </w:r>
      <w:r w:rsidRPr="00AB0951">
        <w:rPr>
          <w:b/>
          <w:bCs/>
          <w:i/>
          <w:iCs/>
        </w:rPr>
        <w:t xml:space="preserve">properly filed </w:t>
      </w:r>
      <w:r w:rsidRPr="00AB0951">
        <w:t>state collateral review pending shall not be counted toward any period of limitation. 28 U.S.C. § 2244(d</w:t>
      </w:r>
      <w:proofErr w:type="gramStart"/>
      <w:r w:rsidRPr="00AB0951">
        <w:t>)(</w:t>
      </w:r>
      <w:proofErr w:type="gramEnd"/>
      <w:r w:rsidRPr="00AB0951">
        <w:t>2).</w:t>
      </w:r>
    </w:p>
    <w:p w:rsidR="007A09AF" w:rsidRDefault="008A1565" w:rsidP="00F11034">
      <w:pPr>
        <w:numPr>
          <w:ilvl w:val="2"/>
          <w:numId w:val="6"/>
        </w:numPr>
      </w:pPr>
      <w:r>
        <w:t>T</w:t>
      </w:r>
      <w:r w:rsidR="00F11034" w:rsidRPr="00AB0951">
        <w:t>he limitation period run</w:t>
      </w:r>
      <w:r>
        <w:t>s</w:t>
      </w:r>
      <w:r w:rsidR="00F11034" w:rsidRPr="00AB0951">
        <w:t xml:space="preserve"> from the expiration of direct appeal up and until the prisoner files his Form 40 in state court.</w:t>
      </w:r>
    </w:p>
    <w:p w:rsidR="00F11034" w:rsidRDefault="00F11034" w:rsidP="00F11034">
      <w:pPr>
        <w:numPr>
          <w:ilvl w:val="2"/>
          <w:numId w:val="6"/>
        </w:numPr>
      </w:pPr>
      <w:r w:rsidRPr="00AB0951">
        <w:t>Assuming the Form 40 was “properly filed,” the limitations period is tolled until the post-conviction appeal concludes (mandate issued).</w:t>
      </w:r>
    </w:p>
    <w:p w:rsidR="00000000" w:rsidRPr="00AB0951" w:rsidRDefault="00BE09B9" w:rsidP="00CB34DF">
      <w:pPr>
        <w:numPr>
          <w:ilvl w:val="0"/>
          <w:numId w:val="6"/>
        </w:numPr>
      </w:pPr>
      <w:r w:rsidRPr="00AB0951">
        <w:t>Exhaustion</w:t>
      </w:r>
    </w:p>
    <w:p w:rsidR="00000000" w:rsidRPr="00AB0951" w:rsidRDefault="00BE09B9" w:rsidP="00CB34DF">
      <w:pPr>
        <w:numPr>
          <w:ilvl w:val="1"/>
          <w:numId w:val="6"/>
        </w:numPr>
      </w:pPr>
      <w:r w:rsidRPr="00AB0951">
        <w:t>Petitioners must have “exhausted the remedies available in the courts of the State.” 28 U.S.C. § 2254(b</w:t>
      </w:r>
      <w:proofErr w:type="gramStart"/>
      <w:r w:rsidRPr="00AB0951">
        <w:t>)(</w:t>
      </w:r>
      <w:proofErr w:type="gramEnd"/>
      <w:r w:rsidRPr="00AB0951">
        <w:t>1)(A).</w:t>
      </w:r>
    </w:p>
    <w:p w:rsidR="00000000" w:rsidRPr="00AB0951" w:rsidRDefault="007A09AF" w:rsidP="007A09AF">
      <w:pPr>
        <w:numPr>
          <w:ilvl w:val="2"/>
          <w:numId w:val="6"/>
        </w:numPr>
      </w:pPr>
      <w:r>
        <w:t>This means</w:t>
      </w:r>
      <w:r w:rsidR="00BE09B9" w:rsidRPr="00AB0951">
        <w:t xml:space="preserve"> they must present the claim on direct appeal OR in post-conviction proceeding AND post-conviction appeal.</w:t>
      </w:r>
    </w:p>
    <w:p w:rsidR="00000000" w:rsidRPr="00AB0951" w:rsidRDefault="00BE09B9" w:rsidP="00CB34DF">
      <w:pPr>
        <w:numPr>
          <w:ilvl w:val="0"/>
          <w:numId w:val="6"/>
        </w:numPr>
      </w:pPr>
      <w:r w:rsidRPr="00AB0951">
        <w:t>Exception to exhaustion</w:t>
      </w:r>
    </w:p>
    <w:p w:rsidR="00000000" w:rsidRPr="00AB0951" w:rsidRDefault="00BE09B9" w:rsidP="00CB34DF">
      <w:pPr>
        <w:numPr>
          <w:ilvl w:val="1"/>
          <w:numId w:val="6"/>
        </w:numPr>
      </w:pPr>
      <w:r>
        <w:t>M</w:t>
      </w:r>
      <w:r w:rsidRPr="00AB0951">
        <w:t xml:space="preserve">ust show </w:t>
      </w:r>
      <w:r w:rsidRPr="00AB0951">
        <w:rPr>
          <w:b/>
          <w:bCs/>
          <w:i/>
          <w:iCs/>
        </w:rPr>
        <w:t xml:space="preserve">cause </w:t>
      </w:r>
      <w:r w:rsidRPr="00AB0951">
        <w:t>for the default</w:t>
      </w:r>
      <w:r w:rsidRPr="00AB0951">
        <w:rPr>
          <w:b/>
          <w:bCs/>
          <w:i/>
          <w:iCs/>
        </w:rPr>
        <w:t xml:space="preserve"> </w:t>
      </w:r>
      <w:r w:rsidRPr="00AB0951">
        <w:t>and</w:t>
      </w:r>
      <w:r w:rsidRPr="00AB0951">
        <w:rPr>
          <w:b/>
          <w:bCs/>
          <w:i/>
          <w:iCs/>
        </w:rPr>
        <w:t xml:space="preserve"> prejudice </w:t>
      </w:r>
      <w:r w:rsidRPr="00AB0951">
        <w:t xml:space="preserve">resulting from the alleged violation of federal law </w:t>
      </w:r>
      <w:r w:rsidRPr="00AB0951">
        <w:rPr>
          <w:b/>
          <w:bCs/>
        </w:rPr>
        <w:t>OR</w:t>
      </w:r>
      <w:r w:rsidRPr="00AB0951">
        <w:t xml:space="preserve"> demonstrate that failure to consider the clai</w:t>
      </w:r>
      <w:r w:rsidRPr="00AB0951">
        <w:t xml:space="preserve">ms will result in a </w:t>
      </w:r>
      <w:r w:rsidRPr="00AB0951">
        <w:rPr>
          <w:b/>
          <w:bCs/>
          <w:i/>
          <w:iCs/>
        </w:rPr>
        <w:t>fundamental miscarriage of justice</w:t>
      </w:r>
      <w:r w:rsidRPr="00AB0951">
        <w:t>.</w:t>
      </w:r>
      <w:r w:rsidRPr="00AB0951">
        <w:rPr>
          <w:i/>
          <w:iCs/>
        </w:rPr>
        <w:t xml:space="preserve"> Coleman v. Thompson</w:t>
      </w:r>
      <w:r w:rsidRPr="00AB0951">
        <w:t xml:space="preserve">, 501 U.S. 722, 750 (1991). </w:t>
      </w:r>
    </w:p>
    <w:p w:rsidR="00000000" w:rsidRPr="00AB0951" w:rsidRDefault="00BE09B9" w:rsidP="00195E09">
      <w:pPr>
        <w:numPr>
          <w:ilvl w:val="1"/>
          <w:numId w:val="6"/>
        </w:numPr>
      </w:pPr>
      <w:r w:rsidRPr="00AB0951">
        <w:t>Ineffective assistance of counsel at an initial-review collateral proceed</w:t>
      </w:r>
      <w:r w:rsidRPr="00AB0951">
        <w:t>ing may establish cause for a prisoner’s procedural default of a claim of ineffective assistance at trial.</w:t>
      </w:r>
      <w:r w:rsidRPr="00AB0951">
        <w:t xml:space="preserve"> </w:t>
      </w:r>
      <w:r w:rsidRPr="00AB0951">
        <w:rPr>
          <w:i/>
          <w:iCs/>
        </w:rPr>
        <w:t>Martinez v. Ryan</w:t>
      </w:r>
      <w:r w:rsidRPr="00AB0951">
        <w:t>, 132 S. Ct. 1309 (2012).</w:t>
      </w:r>
      <w:r w:rsidRPr="00AB0951">
        <w:t xml:space="preserve"> </w:t>
      </w:r>
    </w:p>
    <w:p w:rsidR="007A09AF" w:rsidRDefault="007A09AF" w:rsidP="00CB34DF">
      <w:pPr>
        <w:numPr>
          <w:ilvl w:val="0"/>
          <w:numId w:val="6"/>
        </w:numPr>
      </w:pPr>
      <w:r>
        <w:t xml:space="preserve">Standard </w:t>
      </w:r>
      <w:bookmarkStart w:id="0" w:name="_GoBack"/>
      <w:bookmarkEnd w:id="0"/>
    </w:p>
    <w:p w:rsidR="00000000" w:rsidRPr="00AB0951" w:rsidRDefault="00BE09B9" w:rsidP="007A09AF">
      <w:pPr>
        <w:numPr>
          <w:ilvl w:val="1"/>
          <w:numId w:val="6"/>
        </w:numPr>
      </w:pPr>
      <w:r w:rsidRPr="00AB0951">
        <w:t>Federal courts defer to and adopt factu</w:t>
      </w:r>
      <w:r w:rsidRPr="00AB0951">
        <w:t>al conclusions made by the state courts unless the petitioner establishes by clear and convincing evidence that the state</w:t>
      </w:r>
      <w:r w:rsidR="007A09AF">
        <w:t xml:space="preserve"> court findings are erroneous. </w:t>
      </w:r>
      <w:r w:rsidRPr="00AB0951">
        <w:t>28 U.S.C. § 2254(e)(1)</w:t>
      </w:r>
    </w:p>
    <w:p w:rsidR="00000000" w:rsidRPr="00AB0951" w:rsidRDefault="00BE09B9" w:rsidP="007A09AF">
      <w:pPr>
        <w:numPr>
          <w:ilvl w:val="1"/>
          <w:numId w:val="6"/>
        </w:numPr>
      </w:pPr>
      <w:r w:rsidRPr="00AB0951">
        <w:lastRenderedPageBreak/>
        <w:t>When a claim h</w:t>
      </w:r>
      <w:r w:rsidRPr="00AB0951">
        <w:t>as been adjudicated on the merits in state court, Petitioner must show that the adjudication of the claim:</w:t>
      </w:r>
    </w:p>
    <w:p w:rsidR="00000000" w:rsidRPr="00AB0951" w:rsidRDefault="00BE09B9" w:rsidP="007A09AF">
      <w:pPr>
        <w:numPr>
          <w:ilvl w:val="2"/>
          <w:numId w:val="6"/>
        </w:numPr>
      </w:pPr>
      <w:r w:rsidRPr="00AB0951">
        <w:t xml:space="preserve">(1) resulted in a decision that was </w:t>
      </w:r>
      <w:r w:rsidRPr="00AB0951">
        <w:rPr>
          <w:b/>
          <w:bCs/>
          <w:i/>
          <w:iCs/>
        </w:rPr>
        <w:t>contrary to or involved an unreasonable application of, clearly established Federal law</w:t>
      </w:r>
      <w:r w:rsidRPr="00AB0951">
        <w:t>, as determined by the Supreme Court of the United States; or</w:t>
      </w:r>
    </w:p>
    <w:p w:rsidR="00000000" w:rsidRPr="00AB0951" w:rsidRDefault="00BE09B9" w:rsidP="007A09AF">
      <w:pPr>
        <w:numPr>
          <w:ilvl w:val="2"/>
          <w:numId w:val="6"/>
        </w:numPr>
      </w:pPr>
      <w:r w:rsidRPr="00AB0951">
        <w:t xml:space="preserve">(2) </w:t>
      </w:r>
      <w:proofErr w:type="gramStart"/>
      <w:r w:rsidRPr="00AB0951">
        <w:t>resulted</w:t>
      </w:r>
      <w:proofErr w:type="gramEnd"/>
      <w:r w:rsidRPr="00AB0951">
        <w:t xml:space="preserve"> in a decision that was based on an </w:t>
      </w:r>
      <w:r w:rsidRPr="00AB0951">
        <w:rPr>
          <w:b/>
          <w:bCs/>
          <w:i/>
          <w:iCs/>
        </w:rPr>
        <w:t xml:space="preserve">unreasonable determination of the facts </w:t>
      </w:r>
      <w:r w:rsidRPr="00AB0951">
        <w:t>in light of the evidence presented in the State court proceeding. § 2254(d)</w:t>
      </w:r>
    </w:p>
    <w:p w:rsidR="00000000" w:rsidRPr="00AB0951" w:rsidRDefault="00BE09B9" w:rsidP="007A09AF">
      <w:pPr>
        <w:numPr>
          <w:ilvl w:val="1"/>
          <w:numId w:val="6"/>
        </w:numPr>
      </w:pPr>
      <w:r w:rsidRPr="00AB0951">
        <w:t>Review under § 2254(d</w:t>
      </w:r>
      <w:proofErr w:type="gramStart"/>
      <w:r w:rsidRPr="00AB0951">
        <w:t>)(</w:t>
      </w:r>
      <w:proofErr w:type="gramEnd"/>
      <w:r w:rsidRPr="00AB0951">
        <w:t>1) is limited to the record that was before the state co</w:t>
      </w:r>
      <w:r w:rsidRPr="00AB0951">
        <w:t>urt that adjudi</w:t>
      </w:r>
      <w:r w:rsidR="004D269B">
        <w:t xml:space="preserve">cated the claim on the merits. </w:t>
      </w:r>
      <w:r w:rsidRPr="00AB0951">
        <w:t xml:space="preserve">The record cannot be expanded. </w:t>
      </w:r>
      <w:r w:rsidRPr="00AB0951">
        <w:rPr>
          <w:i/>
          <w:iCs/>
        </w:rPr>
        <w:t xml:space="preserve">Cullen v. </w:t>
      </w:r>
      <w:proofErr w:type="spellStart"/>
      <w:r w:rsidRPr="00AB0951">
        <w:rPr>
          <w:i/>
          <w:iCs/>
        </w:rPr>
        <w:t>Pinholster</w:t>
      </w:r>
      <w:proofErr w:type="spellEnd"/>
      <w:r w:rsidRPr="00AB0951">
        <w:t>, 563 U.S. 170 (2011).</w:t>
      </w:r>
    </w:p>
    <w:p w:rsidR="00C85274" w:rsidRDefault="00C85274"/>
    <w:sectPr w:rsidR="00C852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34" w:rsidRDefault="00F11034" w:rsidP="00F11034">
      <w:r>
        <w:separator/>
      </w:r>
    </w:p>
  </w:endnote>
  <w:endnote w:type="continuationSeparator" w:id="0">
    <w:p w:rsidR="00F11034" w:rsidRDefault="00F11034" w:rsidP="00F1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34" w:rsidRDefault="00F11034" w:rsidP="00F11034">
      <w:r>
        <w:separator/>
      </w:r>
    </w:p>
  </w:footnote>
  <w:footnote w:type="continuationSeparator" w:id="0">
    <w:p w:rsidR="00F11034" w:rsidRDefault="00F11034" w:rsidP="00F1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34" w:rsidRDefault="00F11034" w:rsidP="00F11034">
    <w:pPr>
      <w:pStyle w:val="Header"/>
      <w:jc w:val="center"/>
    </w:pPr>
    <w:r>
      <w:t>Federal Habeas Quick Reference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D13"/>
    <w:multiLevelType w:val="hybridMultilevel"/>
    <w:tmpl w:val="1654F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C2CC2"/>
    <w:multiLevelType w:val="hybridMultilevel"/>
    <w:tmpl w:val="B1EACED4"/>
    <w:lvl w:ilvl="0" w:tplc="44B647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8CB71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58F7BA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D65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C29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1C47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6A2D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2659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F005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05B259A"/>
    <w:multiLevelType w:val="hybridMultilevel"/>
    <w:tmpl w:val="6EB81EC4"/>
    <w:lvl w:ilvl="0" w:tplc="9A52B1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25DA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895BC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AA73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B8C1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526C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908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B86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DE6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4A41C09"/>
    <w:multiLevelType w:val="hybridMultilevel"/>
    <w:tmpl w:val="6A00EE32"/>
    <w:lvl w:ilvl="0" w:tplc="B85087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6574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4B6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20B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C2A0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27E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1A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E97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9A26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8454C57"/>
    <w:multiLevelType w:val="hybridMultilevel"/>
    <w:tmpl w:val="B630F2F8"/>
    <w:lvl w:ilvl="0" w:tplc="D9400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2292C0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4D5FC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66E0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F6C6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B885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2AD5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F280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4CC6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47205AB"/>
    <w:multiLevelType w:val="hybridMultilevel"/>
    <w:tmpl w:val="61D0C114"/>
    <w:lvl w:ilvl="0" w:tplc="CB7864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863F5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4A05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FC6F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FA1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ECC7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6858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5407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63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3E"/>
    <w:rsid w:val="00195E09"/>
    <w:rsid w:val="004D269B"/>
    <w:rsid w:val="007A09AF"/>
    <w:rsid w:val="007A71CF"/>
    <w:rsid w:val="008A1565"/>
    <w:rsid w:val="00A80C3E"/>
    <w:rsid w:val="00AB0951"/>
    <w:rsid w:val="00BE09B9"/>
    <w:rsid w:val="00C51D3B"/>
    <w:rsid w:val="00C85274"/>
    <w:rsid w:val="00CB34DF"/>
    <w:rsid w:val="00D23A4B"/>
    <w:rsid w:val="00F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034"/>
  </w:style>
  <w:style w:type="paragraph" w:styleId="Footer">
    <w:name w:val="footer"/>
    <w:basedOn w:val="Normal"/>
    <w:link w:val="FooterChar"/>
    <w:uiPriority w:val="99"/>
    <w:unhideWhenUsed/>
    <w:rsid w:val="00F11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034"/>
  </w:style>
  <w:style w:type="paragraph" w:styleId="Footer">
    <w:name w:val="footer"/>
    <w:basedOn w:val="Normal"/>
    <w:link w:val="FooterChar"/>
    <w:uiPriority w:val="99"/>
    <w:unhideWhenUsed/>
    <w:rsid w:val="00F11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8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25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08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758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926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67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3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273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11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7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5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65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42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4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2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42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4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85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35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1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9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9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1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487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04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880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3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99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3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83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0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54001A2D</Template>
  <TotalTime>52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hfinn</dc:creator>
  <cp:lastModifiedBy>hfinn</cp:lastModifiedBy>
  <cp:revision>7</cp:revision>
  <dcterms:created xsi:type="dcterms:W3CDTF">2019-04-23T18:10:00Z</dcterms:created>
  <dcterms:modified xsi:type="dcterms:W3CDTF">2019-04-23T19:04:00Z</dcterms:modified>
</cp:coreProperties>
</file>