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FDDA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bookmarkStart w:id="0" w:name="S556_046_"/>
      <w:r w:rsidRPr="00346DE5">
        <w:rPr>
          <w:rFonts w:eastAsia="Times New Roman"/>
          <w:b/>
          <w:bCs/>
          <w:sz w:val="21"/>
          <w:szCs w:val="21"/>
        </w:rPr>
        <w:tab/>
      </w:r>
      <w:bookmarkEnd w:id="0"/>
      <w:r w:rsidRPr="00346DE5">
        <w:rPr>
          <w:rFonts w:eastAsia="Times New Roman"/>
          <w:b/>
          <w:bCs/>
          <w:sz w:val="21"/>
          <w:szCs w:val="21"/>
        </w:rPr>
        <w:t xml:space="preserve">556.046.  Conviction of included offenses — jury instructions. — </w:t>
      </w:r>
      <w:r w:rsidRPr="00346DE5">
        <w:rPr>
          <w:rFonts w:eastAsia="Times New Roman"/>
          <w:sz w:val="21"/>
          <w:szCs w:val="21"/>
        </w:rPr>
        <w:t>1.  A person may be convicted of an offense included in an offense charged in the indictment or information.  An offense is so included when:</w:t>
      </w:r>
    </w:p>
    <w:p w14:paraId="35BF5A41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346DE5">
        <w:rPr>
          <w:rFonts w:eastAsia="Times New Roman"/>
          <w:sz w:val="21"/>
          <w:szCs w:val="21"/>
        </w:rPr>
        <w:tab/>
        <w:t>(1)  It is established by proof of the same or less than all the facts required to establish the commission of the offense charged; or</w:t>
      </w:r>
    </w:p>
    <w:p w14:paraId="08F64316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346DE5">
        <w:rPr>
          <w:rFonts w:eastAsia="Times New Roman"/>
          <w:sz w:val="21"/>
          <w:szCs w:val="21"/>
        </w:rPr>
        <w:tab/>
        <w:t xml:space="preserve">(2)  It is specifically denominated by statute as </w:t>
      </w:r>
      <w:proofErr w:type="gramStart"/>
      <w:r w:rsidRPr="00346DE5">
        <w:rPr>
          <w:rFonts w:eastAsia="Times New Roman"/>
          <w:sz w:val="21"/>
          <w:szCs w:val="21"/>
        </w:rPr>
        <w:t>a lesser degree of</w:t>
      </w:r>
      <w:proofErr w:type="gramEnd"/>
      <w:r w:rsidRPr="00346DE5">
        <w:rPr>
          <w:rFonts w:eastAsia="Times New Roman"/>
          <w:sz w:val="21"/>
          <w:szCs w:val="21"/>
        </w:rPr>
        <w:t xml:space="preserve"> the offense charged; or</w:t>
      </w:r>
    </w:p>
    <w:p w14:paraId="6A7863CE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346DE5">
        <w:rPr>
          <w:rFonts w:eastAsia="Times New Roman"/>
          <w:sz w:val="21"/>
          <w:szCs w:val="21"/>
        </w:rPr>
        <w:tab/>
        <w:t>(3)  It consists of an attempt to commit the offense charged or to commit an offense otherwise included therein.</w:t>
      </w:r>
    </w:p>
    <w:p w14:paraId="2799B43F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346DE5">
        <w:rPr>
          <w:rFonts w:eastAsia="Times New Roman"/>
          <w:sz w:val="21"/>
          <w:szCs w:val="21"/>
        </w:rPr>
        <w:tab/>
        <w:t>2.  The court shall not be obligated to charge the jury with respect to an included offense unless there is a rational basis for a verdict acquitting the person of the offense charged and convicting him or her of the included offense.  An offense is charged for purposes of this section if:</w:t>
      </w:r>
    </w:p>
    <w:p w14:paraId="4EA4A9A1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346DE5">
        <w:rPr>
          <w:rFonts w:eastAsia="Times New Roman"/>
          <w:sz w:val="21"/>
          <w:szCs w:val="21"/>
        </w:rPr>
        <w:tab/>
        <w:t>(1)  It is in an indictment or information; or</w:t>
      </w:r>
    </w:p>
    <w:p w14:paraId="1E0C700A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346DE5">
        <w:rPr>
          <w:rFonts w:eastAsia="Times New Roman"/>
          <w:sz w:val="21"/>
          <w:szCs w:val="21"/>
        </w:rPr>
        <w:tab/>
        <w:t>(2)  It is an offense submitted to the jury because there is a rational basis for a verdict acquitting the person of the offense charged and convicting the person of the included offense.</w:t>
      </w:r>
    </w:p>
    <w:p w14:paraId="5E32EE59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346DE5">
        <w:rPr>
          <w:rFonts w:eastAsia="Times New Roman"/>
          <w:sz w:val="21"/>
          <w:szCs w:val="21"/>
        </w:rPr>
        <w:tab/>
        <w:t xml:space="preserve">3.  The court shall be obligated to instruct the jury with respect to a particular included offense only if the instruction is requested and there is a rational basis in the evidence for acquitting the person of the immediately higher included offense and convicting the person of that </w:t>
      </w:r>
      <w:proofErr w:type="gramStart"/>
      <w:r w:rsidRPr="00346DE5">
        <w:rPr>
          <w:rFonts w:eastAsia="Times New Roman"/>
          <w:sz w:val="21"/>
          <w:szCs w:val="21"/>
        </w:rPr>
        <w:t>particular included</w:t>
      </w:r>
      <w:proofErr w:type="gramEnd"/>
      <w:r w:rsidRPr="00346DE5">
        <w:rPr>
          <w:rFonts w:eastAsia="Times New Roman"/>
          <w:sz w:val="21"/>
          <w:szCs w:val="21"/>
        </w:rPr>
        <w:t xml:space="preserve"> offense.</w:t>
      </w:r>
    </w:p>
    <w:p w14:paraId="62EEA771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i/>
          <w:iCs/>
          <w:color w:val="FFFFFF"/>
          <w:sz w:val="8"/>
          <w:szCs w:val="8"/>
        </w:rPr>
      </w:pPr>
      <w:r w:rsidRPr="00346DE5">
        <w:rPr>
          <w:rFonts w:eastAsia="Times New Roman"/>
          <w:i/>
          <w:iCs/>
          <w:color w:val="FFFFFF"/>
          <w:sz w:val="8"/>
          <w:szCs w:val="8"/>
        </w:rPr>
        <w:softHyphen/>
      </w:r>
      <w:r w:rsidRPr="00346DE5">
        <w:rPr>
          <w:rFonts w:eastAsia="Times New Roman"/>
          <w:i/>
          <w:iCs/>
          <w:color w:val="FFFFFF"/>
          <w:sz w:val="8"/>
          <w:szCs w:val="8"/>
        </w:rPr>
        <w:softHyphen/>
      </w:r>
    </w:p>
    <w:p w14:paraId="789A9574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16"/>
          <w:szCs w:val="16"/>
        </w:rPr>
      </w:pPr>
      <w:r w:rsidRPr="00346DE5">
        <w:rPr>
          <w:rFonts w:eastAsia="Times New Roman"/>
          <w:sz w:val="16"/>
          <w:szCs w:val="16"/>
        </w:rPr>
        <w:t>(L. 1977 S.B. 60, A.L. 2001 S.B. 223, A.L. 2014 S.B. 491, A.L. 2022 S.B. 775, et al.)</w:t>
      </w:r>
    </w:p>
    <w:p w14:paraId="5D64898F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6"/>
          <w:szCs w:val="6"/>
        </w:rPr>
      </w:pPr>
      <w:r w:rsidRPr="00346DE5">
        <w:rPr>
          <w:rFonts w:eastAsia="Times New Roman"/>
          <w:sz w:val="6"/>
          <w:szCs w:val="6"/>
        </w:rPr>
        <w:t xml:space="preserve"> </w:t>
      </w:r>
    </w:p>
    <w:p w14:paraId="74FE2E0E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16"/>
          <w:szCs w:val="16"/>
        </w:rPr>
      </w:pPr>
      <w:r w:rsidRPr="00346DE5">
        <w:rPr>
          <w:rFonts w:eastAsia="Times New Roman"/>
          <w:sz w:val="16"/>
          <w:szCs w:val="16"/>
        </w:rPr>
        <w:tab/>
        <w:t xml:space="preserve">(1981) Statute providing that defendant may be convicted of offense included in offense charged is legislative determination that offense can be a lesser offense of another offense so that charge of greater will support conviction of lesser although lesser is not necessarily included in greater; declining to follow State v. Handley, 585 S.W.2d 458, to extent of conflict. State v. Wilkerson (Mo.), 616 S.W.2d 829. </w:t>
      </w:r>
    </w:p>
    <w:p w14:paraId="5639B9A2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6"/>
          <w:szCs w:val="6"/>
        </w:rPr>
      </w:pPr>
      <w:r w:rsidRPr="00346DE5">
        <w:rPr>
          <w:rFonts w:eastAsia="Times New Roman"/>
          <w:sz w:val="6"/>
          <w:szCs w:val="6"/>
        </w:rPr>
        <w:t xml:space="preserve"> </w:t>
      </w:r>
    </w:p>
    <w:p w14:paraId="7F936113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16"/>
          <w:szCs w:val="16"/>
        </w:rPr>
      </w:pPr>
      <w:r w:rsidRPr="00346DE5">
        <w:rPr>
          <w:rFonts w:eastAsia="Times New Roman"/>
          <w:sz w:val="16"/>
          <w:szCs w:val="16"/>
        </w:rPr>
        <w:tab/>
        <w:t>(1981) Statute must be construed as requiring an instruction on a lesser-included offense only where there is evidence of probative value which could form basis of an acquittal of greater offense and a conviction of lesser-included offense.  State v. Hill (A.), 614 S.W.2d 744.</w:t>
      </w:r>
    </w:p>
    <w:p w14:paraId="54002550" w14:textId="77777777" w:rsidR="00346DE5" w:rsidRPr="00346DE5" w:rsidRDefault="00346DE5" w:rsidP="00346DE5">
      <w:pPr>
        <w:widowControl w:val="0"/>
        <w:tabs>
          <w:tab w:val="left" w:pos="360"/>
        </w:tabs>
        <w:suppressAutoHyphens/>
        <w:rPr>
          <w:rFonts w:eastAsia="Times New Roman"/>
          <w:sz w:val="6"/>
          <w:szCs w:val="6"/>
        </w:rPr>
      </w:pPr>
      <w:r w:rsidRPr="00346DE5">
        <w:rPr>
          <w:rFonts w:eastAsia="Times New Roman"/>
          <w:sz w:val="6"/>
          <w:szCs w:val="6"/>
        </w:rPr>
        <w:t xml:space="preserve"> </w:t>
      </w:r>
    </w:p>
    <w:p w14:paraId="24A46161" w14:textId="77777777" w:rsidR="00346DE5" w:rsidRDefault="00346DE5" w:rsidP="00346DE5">
      <w:pPr>
        <w:widowControl w:val="0"/>
        <w:tabs>
          <w:tab w:val="left" w:pos="360"/>
        </w:tabs>
        <w:suppressAutoHyphens/>
        <w:sectPr w:rsidR="00346DE5" w:rsidSect="002774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728" w:right="1872" w:bottom="1728" w:left="2592" w:header="1296" w:footer="1296" w:gutter="0"/>
          <w:cols w:space="720"/>
          <w:titlePg/>
          <w:docGrid w:linePitch="360"/>
        </w:sectPr>
      </w:pPr>
    </w:p>
    <w:p w14:paraId="51388E9E" w14:textId="77777777" w:rsidR="00153AFC" w:rsidRPr="00346DE5" w:rsidRDefault="00153AFC" w:rsidP="00346DE5">
      <w:pPr>
        <w:widowControl w:val="0"/>
        <w:tabs>
          <w:tab w:val="left" w:pos="360"/>
        </w:tabs>
        <w:suppressAutoHyphens/>
        <w:rPr>
          <w:sz w:val="8"/>
        </w:rPr>
      </w:pPr>
    </w:p>
    <w:sectPr w:rsidR="00153AFC" w:rsidRPr="00346DE5" w:rsidSect="00277447">
      <w:type w:val="continuous"/>
      <w:pgSz w:w="12240" w:h="15840" w:code="1"/>
      <w:pgMar w:top="1728" w:right="1872" w:bottom="1728" w:left="2592" w:header="1296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6A9E" w14:textId="77777777" w:rsidR="008E2990" w:rsidRDefault="008E2990" w:rsidP="00113BED">
      <w:r>
        <w:separator/>
      </w:r>
    </w:p>
  </w:endnote>
  <w:endnote w:type="continuationSeparator" w:id="0">
    <w:p w14:paraId="5E3B4636" w14:textId="77777777" w:rsidR="008E2990" w:rsidRDefault="008E2990" w:rsidP="0011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6"/>
      <w:gridCol w:w="6521"/>
      <w:gridCol w:w="531"/>
    </w:tblGrid>
    <w:tr w:rsidR="0096713D" w:rsidRPr="00277447" w14:paraId="0E8E0C55" w14:textId="77777777" w:rsidTr="00EB3D67">
      <w:trPr>
        <w:jc w:val="center"/>
      </w:trPr>
      <w:tc>
        <w:tcPr>
          <w:tcW w:w="864" w:type="dxa"/>
          <w:tcMar>
            <w:left w:w="29" w:type="dxa"/>
            <w:right w:w="115" w:type="dxa"/>
          </w:tcMar>
          <w:vAlign w:val="center"/>
        </w:tcPr>
        <w:p w14:paraId="33C1D47D" w14:textId="77777777" w:rsidR="0096713D" w:rsidRPr="00277447" w:rsidRDefault="0096713D" w:rsidP="002C4B6F">
          <w:pPr>
            <w:pStyle w:val="Header"/>
            <w:rPr>
              <w:sz w:val="18"/>
              <w:szCs w:val="18"/>
            </w:rPr>
          </w:pPr>
          <w:r w:rsidRPr="0096713D">
            <w:rPr>
              <w:sz w:val="18"/>
              <w:szCs w:val="18"/>
            </w:rPr>
            <w:fldChar w:fldCharType="begin"/>
          </w:r>
          <w:r w:rsidRPr="0096713D">
            <w:rPr>
              <w:sz w:val="18"/>
              <w:szCs w:val="18"/>
            </w:rPr>
            <w:instrText xml:space="preserve"> PAGE   \* MERGEFORMAT </w:instrText>
          </w:r>
          <w:r w:rsidRPr="0096713D">
            <w:rPr>
              <w:sz w:val="18"/>
              <w:szCs w:val="18"/>
            </w:rPr>
            <w:fldChar w:fldCharType="separate"/>
          </w:r>
          <w:r w:rsidR="00EB3D67">
            <w:rPr>
              <w:noProof/>
              <w:sz w:val="18"/>
              <w:szCs w:val="18"/>
            </w:rPr>
            <w:t>2</w:t>
          </w:r>
          <w:r w:rsidRPr="0096713D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2E019D39" w14:textId="77777777" w:rsidR="0096713D" w:rsidRPr="00277447" w:rsidRDefault="0096713D" w:rsidP="002C4B6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576" w:type="dxa"/>
          <w:tcMar>
            <w:left w:w="115" w:type="dxa"/>
            <w:right w:w="29" w:type="dxa"/>
          </w:tcMar>
          <w:vAlign w:val="center"/>
        </w:tcPr>
        <w:p w14:paraId="0EF95712" w14:textId="77777777" w:rsidR="0096713D" w:rsidRPr="00277447" w:rsidRDefault="0096713D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7A7BD498" w14:textId="77777777" w:rsidR="0096713D" w:rsidRPr="00277447" w:rsidRDefault="0096713D" w:rsidP="0096713D">
    <w:pPr>
      <w:pStyle w:val="Head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6514"/>
      <w:gridCol w:w="796"/>
    </w:tblGrid>
    <w:tr w:rsidR="0096713D" w:rsidRPr="00277447" w14:paraId="371C22DA" w14:textId="77777777" w:rsidTr="00EB3D67">
      <w:trPr>
        <w:jc w:val="center"/>
      </w:trPr>
      <w:tc>
        <w:tcPr>
          <w:tcW w:w="576" w:type="dxa"/>
          <w:vAlign w:val="center"/>
        </w:tcPr>
        <w:p w14:paraId="080DAF4D" w14:textId="77777777" w:rsidR="00945DA4" w:rsidRPr="00277447" w:rsidRDefault="00945DA4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100AC7C3" w14:textId="77777777" w:rsidR="00945DA4" w:rsidRPr="00277447" w:rsidRDefault="00945DA4" w:rsidP="00945DA4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864" w:type="dxa"/>
          <w:tcMar>
            <w:left w:w="115" w:type="dxa"/>
            <w:right w:w="29" w:type="dxa"/>
          </w:tcMar>
          <w:vAlign w:val="center"/>
        </w:tcPr>
        <w:p w14:paraId="089E2C74" w14:textId="77777777" w:rsidR="00945DA4" w:rsidRPr="00277447" w:rsidRDefault="00945DA4" w:rsidP="002C4B6F">
          <w:pPr>
            <w:pStyle w:val="Header"/>
            <w:jc w:val="right"/>
            <w:rPr>
              <w:sz w:val="18"/>
              <w:szCs w:val="18"/>
            </w:rPr>
          </w:pPr>
          <w:r w:rsidRPr="00945DA4">
            <w:rPr>
              <w:sz w:val="18"/>
              <w:szCs w:val="18"/>
            </w:rPr>
            <w:fldChar w:fldCharType="begin"/>
          </w:r>
          <w:r w:rsidRPr="00945DA4">
            <w:rPr>
              <w:sz w:val="18"/>
              <w:szCs w:val="18"/>
            </w:rPr>
            <w:instrText xml:space="preserve"> PAGE   \* MERGEFORMAT </w:instrText>
          </w:r>
          <w:r w:rsidRPr="00945DA4">
            <w:rPr>
              <w:sz w:val="18"/>
              <w:szCs w:val="18"/>
            </w:rPr>
            <w:fldChar w:fldCharType="separate"/>
          </w:r>
          <w:r w:rsidR="00EB3D67">
            <w:rPr>
              <w:noProof/>
              <w:sz w:val="18"/>
              <w:szCs w:val="18"/>
            </w:rPr>
            <w:t>3</w:t>
          </w:r>
          <w:r w:rsidRPr="00945DA4">
            <w:rPr>
              <w:noProof/>
              <w:sz w:val="18"/>
              <w:szCs w:val="18"/>
            </w:rPr>
            <w:fldChar w:fldCharType="end"/>
          </w:r>
        </w:p>
      </w:tc>
    </w:tr>
  </w:tbl>
  <w:p w14:paraId="4D71CE53" w14:textId="77777777" w:rsidR="00945DA4" w:rsidRPr="00277447" w:rsidRDefault="00945DA4" w:rsidP="00945DA4">
    <w:pPr>
      <w:pStyle w:val="Head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6514"/>
      <w:gridCol w:w="796"/>
    </w:tblGrid>
    <w:tr w:rsidR="0096713D" w:rsidRPr="00277447" w14:paraId="7449284D" w14:textId="77777777" w:rsidTr="00EB3D67">
      <w:trPr>
        <w:jc w:val="center"/>
      </w:trPr>
      <w:tc>
        <w:tcPr>
          <w:tcW w:w="576" w:type="dxa"/>
          <w:vAlign w:val="center"/>
        </w:tcPr>
        <w:p w14:paraId="6AF39E71" w14:textId="77777777" w:rsidR="0096713D" w:rsidRPr="00277447" w:rsidRDefault="0096713D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1F1233EA" w14:textId="77777777" w:rsidR="0096713D" w:rsidRPr="00277447" w:rsidRDefault="0096713D" w:rsidP="002C4B6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864" w:type="dxa"/>
          <w:tcMar>
            <w:left w:w="115" w:type="dxa"/>
            <w:right w:w="29" w:type="dxa"/>
          </w:tcMar>
          <w:vAlign w:val="center"/>
        </w:tcPr>
        <w:p w14:paraId="185E49FD" w14:textId="77777777" w:rsidR="0096713D" w:rsidRPr="00277447" w:rsidRDefault="0096713D" w:rsidP="002C4B6F">
          <w:pPr>
            <w:pStyle w:val="Header"/>
            <w:jc w:val="right"/>
            <w:rPr>
              <w:sz w:val="18"/>
              <w:szCs w:val="18"/>
            </w:rPr>
          </w:pPr>
          <w:r w:rsidRPr="00945DA4">
            <w:rPr>
              <w:sz w:val="18"/>
              <w:szCs w:val="18"/>
            </w:rPr>
            <w:fldChar w:fldCharType="begin"/>
          </w:r>
          <w:r w:rsidRPr="00945DA4">
            <w:rPr>
              <w:sz w:val="18"/>
              <w:szCs w:val="18"/>
            </w:rPr>
            <w:instrText xml:space="preserve"> PAGE   \* MERGEFORMAT </w:instrText>
          </w:r>
          <w:r w:rsidRPr="00945DA4">
            <w:rPr>
              <w:sz w:val="18"/>
              <w:szCs w:val="18"/>
            </w:rPr>
            <w:fldChar w:fldCharType="separate"/>
          </w:r>
          <w:r w:rsidR="00346DE5">
            <w:rPr>
              <w:noProof/>
              <w:sz w:val="18"/>
              <w:szCs w:val="18"/>
            </w:rPr>
            <w:t>1</w:t>
          </w:r>
          <w:r w:rsidRPr="00945DA4">
            <w:rPr>
              <w:noProof/>
              <w:sz w:val="18"/>
              <w:szCs w:val="18"/>
            </w:rPr>
            <w:fldChar w:fldCharType="end"/>
          </w:r>
        </w:p>
      </w:tc>
    </w:tr>
  </w:tbl>
  <w:p w14:paraId="359C176C" w14:textId="77777777" w:rsidR="0096713D" w:rsidRPr="00277447" w:rsidRDefault="0096713D" w:rsidP="0096713D">
    <w:pPr>
      <w:pStyle w:val="Head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2F13" w14:textId="77777777" w:rsidR="008E2990" w:rsidRDefault="008E2990" w:rsidP="00113BED">
      <w:r>
        <w:separator/>
      </w:r>
    </w:p>
  </w:footnote>
  <w:footnote w:type="continuationSeparator" w:id="0">
    <w:p w14:paraId="095EFCC1" w14:textId="77777777" w:rsidR="008E2990" w:rsidRDefault="008E2990" w:rsidP="0011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93"/>
    </w:tblGrid>
    <w:tr w:rsidR="00956A3F" w:rsidRPr="00277447" w14:paraId="312DEF1E" w14:textId="77777777" w:rsidTr="00956A3F">
      <w:trPr>
        <w:jc w:val="center"/>
      </w:trPr>
      <w:tc>
        <w:tcPr>
          <w:tcW w:w="7704" w:type="dxa"/>
          <w:tcMar>
            <w:left w:w="72" w:type="dxa"/>
            <w:right w:w="115" w:type="dxa"/>
          </w:tcMar>
          <w:vAlign w:val="center"/>
        </w:tcPr>
        <w:p w14:paraId="09473FB1" w14:textId="77777777" w:rsidR="00956A3F" w:rsidRPr="00277447" w:rsidRDefault="00956A3F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144" w:type="dxa"/>
          <w:tcMar>
            <w:left w:w="115" w:type="dxa"/>
            <w:right w:w="72" w:type="dxa"/>
          </w:tcMar>
          <w:vAlign w:val="center"/>
        </w:tcPr>
        <w:p w14:paraId="0D632FD0" w14:textId="77777777" w:rsidR="00956A3F" w:rsidRPr="00277447" w:rsidRDefault="00956A3F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4A3B2059" w14:textId="77777777" w:rsidR="00956A3F" w:rsidRPr="00277447" w:rsidRDefault="00956A3F" w:rsidP="00956A3F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7626"/>
    </w:tblGrid>
    <w:tr w:rsidR="00956A3F" w:rsidRPr="00277447" w14:paraId="27DC2EEA" w14:textId="77777777" w:rsidTr="002C4B6F">
      <w:trPr>
        <w:jc w:val="center"/>
      </w:trPr>
      <w:tc>
        <w:tcPr>
          <w:tcW w:w="144" w:type="dxa"/>
          <w:vAlign w:val="center"/>
        </w:tcPr>
        <w:p w14:paraId="26C88DE4" w14:textId="77777777" w:rsidR="00956A3F" w:rsidRPr="00277447" w:rsidRDefault="00956A3F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704" w:type="dxa"/>
          <w:tcMar>
            <w:left w:w="115" w:type="dxa"/>
            <w:right w:w="72" w:type="dxa"/>
          </w:tcMar>
          <w:vAlign w:val="center"/>
        </w:tcPr>
        <w:p w14:paraId="76F81F78" w14:textId="77777777" w:rsidR="00956A3F" w:rsidRPr="00277447" w:rsidRDefault="00956A3F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45008546" w14:textId="77777777" w:rsidR="00956A3F" w:rsidRPr="00277447" w:rsidRDefault="00956A3F" w:rsidP="00956A3F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7626"/>
    </w:tblGrid>
    <w:tr w:rsidR="00277447" w:rsidRPr="00277447" w14:paraId="228C68C3" w14:textId="77777777" w:rsidTr="00956A3F">
      <w:trPr>
        <w:jc w:val="center"/>
      </w:trPr>
      <w:tc>
        <w:tcPr>
          <w:tcW w:w="144" w:type="dxa"/>
          <w:vAlign w:val="center"/>
        </w:tcPr>
        <w:p w14:paraId="3B471253" w14:textId="77777777" w:rsidR="00277447" w:rsidRPr="00277447" w:rsidRDefault="00277447" w:rsidP="008B537F">
          <w:pPr>
            <w:pStyle w:val="Header"/>
            <w:rPr>
              <w:sz w:val="18"/>
              <w:szCs w:val="18"/>
            </w:rPr>
          </w:pPr>
        </w:p>
      </w:tc>
      <w:tc>
        <w:tcPr>
          <w:tcW w:w="7704" w:type="dxa"/>
          <w:tcMar>
            <w:left w:w="115" w:type="dxa"/>
            <w:right w:w="72" w:type="dxa"/>
          </w:tcMar>
          <w:vAlign w:val="center"/>
        </w:tcPr>
        <w:p w14:paraId="3096C18F" w14:textId="77777777" w:rsidR="00277447" w:rsidRPr="00277447" w:rsidRDefault="00277447" w:rsidP="00956A3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7F9BC432" w14:textId="77777777" w:rsidR="00277447" w:rsidRPr="00277447" w:rsidRDefault="00277447" w:rsidP="00277447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70"/>
    <w:rsid w:val="0001345D"/>
    <w:rsid w:val="00025268"/>
    <w:rsid w:val="00025A82"/>
    <w:rsid w:val="00053E40"/>
    <w:rsid w:val="00062A49"/>
    <w:rsid w:val="000A2727"/>
    <w:rsid w:val="000A388C"/>
    <w:rsid w:val="000A7096"/>
    <w:rsid w:val="000B6A41"/>
    <w:rsid w:val="000D604C"/>
    <w:rsid w:val="000F4604"/>
    <w:rsid w:val="00113BED"/>
    <w:rsid w:val="00115E10"/>
    <w:rsid w:val="00153AFC"/>
    <w:rsid w:val="001913EC"/>
    <w:rsid w:val="001F13A4"/>
    <w:rsid w:val="00277447"/>
    <w:rsid w:val="00282957"/>
    <w:rsid w:val="002E59DF"/>
    <w:rsid w:val="002F21B2"/>
    <w:rsid w:val="003155C4"/>
    <w:rsid w:val="00315E1D"/>
    <w:rsid w:val="00346DE5"/>
    <w:rsid w:val="0035339B"/>
    <w:rsid w:val="003A6FE2"/>
    <w:rsid w:val="003B3640"/>
    <w:rsid w:val="003C731D"/>
    <w:rsid w:val="003E0385"/>
    <w:rsid w:val="004154B1"/>
    <w:rsid w:val="00455BA7"/>
    <w:rsid w:val="00485DB3"/>
    <w:rsid w:val="00486DF2"/>
    <w:rsid w:val="004B0F9C"/>
    <w:rsid w:val="004B5BD6"/>
    <w:rsid w:val="004C7E7F"/>
    <w:rsid w:val="005069B3"/>
    <w:rsid w:val="0055182E"/>
    <w:rsid w:val="00586012"/>
    <w:rsid w:val="005909E5"/>
    <w:rsid w:val="005B5495"/>
    <w:rsid w:val="00602C67"/>
    <w:rsid w:val="00622F5C"/>
    <w:rsid w:val="0062437D"/>
    <w:rsid w:val="00631F2B"/>
    <w:rsid w:val="00652054"/>
    <w:rsid w:val="00671BA5"/>
    <w:rsid w:val="00695A70"/>
    <w:rsid w:val="006E77AE"/>
    <w:rsid w:val="00725FD6"/>
    <w:rsid w:val="00745D10"/>
    <w:rsid w:val="007E17B4"/>
    <w:rsid w:val="008356F0"/>
    <w:rsid w:val="00843B4E"/>
    <w:rsid w:val="0089492F"/>
    <w:rsid w:val="008A1FC8"/>
    <w:rsid w:val="008D0B01"/>
    <w:rsid w:val="008D758F"/>
    <w:rsid w:val="008E2990"/>
    <w:rsid w:val="008F5EBD"/>
    <w:rsid w:val="0090300F"/>
    <w:rsid w:val="00923038"/>
    <w:rsid w:val="00924BBA"/>
    <w:rsid w:val="00940716"/>
    <w:rsid w:val="00945DA4"/>
    <w:rsid w:val="00956A3F"/>
    <w:rsid w:val="009605F0"/>
    <w:rsid w:val="0096713D"/>
    <w:rsid w:val="009E7DC9"/>
    <w:rsid w:val="00A2249E"/>
    <w:rsid w:val="00A273AB"/>
    <w:rsid w:val="00A4047A"/>
    <w:rsid w:val="00A5640A"/>
    <w:rsid w:val="00A8377B"/>
    <w:rsid w:val="00AD1D98"/>
    <w:rsid w:val="00B32CB8"/>
    <w:rsid w:val="00B420B5"/>
    <w:rsid w:val="00B43E3D"/>
    <w:rsid w:val="00BC2A1E"/>
    <w:rsid w:val="00C368C9"/>
    <w:rsid w:val="00C77559"/>
    <w:rsid w:val="00C917B7"/>
    <w:rsid w:val="00C921C7"/>
    <w:rsid w:val="00C92D88"/>
    <w:rsid w:val="00CA7552"/>
    <w:rsid w:val="00CB445D"/>
    <w:rsid w:val="00CE51FC"/>
    <w:rsid w:val="00CE6969"/>
    <w:rsid w:val="00D0344D"/>
    <w:rsid w:val="00D14AAE"/>
    <w:rsid w:val="00D17F61"/>
    <w:rsid w:val="00D214DC"/>
    <w:rsid w:val="00DB50CC"/>
    <w:rsid w:val="00DE0E67"/>
    <w:rsid w:val="00E25018"/>
    <w:rsid w:val="00E26E75"/>
    <w:rsid w:val="00E73FE1"/>
    <w:rsid w:val="00E84AA6"/>
    <w:rsid w:val="00EB2087"/>
    <w:rsid w:val="00EB3D67"/>
    <w:rsid w:val="00EC2BEF"/>
    <w:rsid w:val="00ED616F"/>
    <w:rsid w:val="00EE063C"/>
    <w:rsid w:val="00F07B20"/>
    <w:rsid w:val="00F160A8"/>
    <w:rsid w:val="00F226CB"/>
    <w:rsid w:val="00F42BB5"/>
    <w:rsid w:val="00F75B39"/>
    <w:rsid w:val="00F86DFA"/>
    <w:rsid w:val="00FB117C"/>
    <w:rsid w:val="00FE26D3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17767479"/>
  <w15:docId w15:val="{F61EE0AC-2DEA-4466-A351-C9EE1419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7C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62A49"/>
    <w:pPr>
      <w:spacing w:before="100" w:beforeAutospacing="1" w:after="100" w:afterAutospacing="1"/>
    </w:pPr>
    <w:rPr>
      <w:rFonts w:ascii="Courier New" w:hAnsi="Courier New" w:cs="Courier New"/>
    </w:rPr>
  </w:style>
  <w:style w:type="character" w:customStyle="1" w:styleId="norm1">
    <w:name w:val="norm1"/>
    <w:basedOn w:val="DefaultParagraphFont"/>
    <w:rsid w:val="00062A49"/>
    <w:rPr>
      <w:rFonts w:ascii="Courier New" w:hAnsi="Courier New" w:cs="Courier New" w:hint="default"/>
      <w:sz w:val="24"/>
      <w:szCs w:val="24"/>
    </w:rPr>
  </w:style>
  <w:style w:type="table" w:styleId="TableGrid">
    <w:name w:val="Table Grid"/>
    <w:basedOn w:val="TableNormal"/>
    <w:uiPriority w:val="59"/>
    <w:rsid w:val="00BC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2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3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B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BED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F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37BA-2B02-4590-9517-1C1B3754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section template</dc:subject>
  <dc:creator>Dewayne Basnett</dc:creator>
  <dc:description>1865973804</dc:description>
  <cp:lastModifiedBy>Maggie Johnston</cp:lastModifiedBy>
  <cp:revision>2</cp:revision>
  <cp:lastPrinted>2016-04-29T14:02:00Z</cp:lastPrinted>
  <dcterms:created xsi:type="dcterms:W3CDTF">2023-08-08T17:35:00Z</dcterms:created>
  <dcterms:modified xsi:type="dcterms:W3CDTF">2023-08-08T17:35:00Z</dcterms:modified>
</cp:coreProperties>
</file>