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CBE5" w14:textId="77777777" w:rsidR="009A74C0" w:rsidRPr="009A74C0" w:rsidRDefault="009A74C0" w:rsidP="009A74C0">
      <w:pPr>
        <w:widowControl w:val="0"/>
        <w:tabs>
          <w:tab w:val="left" w:pos="360"/>
        </w:tabs>
        <w:suppressAutoHyphens/>
        <w:rPr>
          <w:rFonts w:eastAsia="Times New Roman"/>
          <w:sz w:val="21"/>
          <w:szCs w:val="21"/>
        </w:rPr>
      </w:pPr>
      <w:bookmarkStart w:id="0" w:name="S562_016_"/>
      <w:r w:rsidRPr="009A74C0">
        <w:rPr>
          <w:rFonts w:eastAsia="Times New Roman"/>
          <w:b/>
          <w:bCs/>
          <w:sz w:val="21"/>
          <w:szCs w:val="21"/>
        </w:rPr>
        <w:tab/>
      </w:r>
      <w:bookmarkEnd w:id="0"/>
      <w:r w:rsidRPr="009A74C0">
        <w:rPr>
          <w:rFonts w:eastAsia="Times New Roman"/>
          <w:b/>
          <w:bCs/>
          <w:sz w:val="21"/>
          <w:szCs w:val="21"/>
        </w:rPr>
        <w:t xml:space="preserve">562.016.  Culpable mental state. — </w:t>
      </w:r>
      <w:r w:rsidRPr="009A74C0">
        <w:rPr>
          <w:rFonts w:eastAsia="Times New Roman"/>
          <w:sz w:val="21"/>
          <w:szCs w:val="21"/>
        </w:rPr>
        <w:t>1.  Except as provided in section 562.026, a person is not guilty of an offense unless he or she acts with a culpable mental state, that is, unless he or she acts purposely or knowingly or recklessly or with criminal negligence, as the statute defining the offense may require with respect to the conduct, the result thereof or the attendant circumstances which constitute the material elements of the crime.</w:t>
      </w:r>
    </w:p>
    <w:p w14:paraId="1E8FDCFF" w14:textId="77777777" w:rsidR="009A74C0" w:rsidRPr="009A74C0" w:rsidRDefault="009A74C0" w:rsidP="009A74C0">
      <w:pPr>
        <w:widowControl w:val="0"/>
        <w:tabs>
          <w:tab w:val="left" w:pos="360"/>
        </w:tabs>
        <w:suppressAutoHyphens/>
        <w:rPr>
          <w:rFonts w:eastAsia="Times New Roman"/>
          <w:sz w:val="21"/>
          <w:szCs w:val="21"/>
        </w:rPr>
      </w:pPr>
      <w:r w:rsidRPr="009A74C0">
        <w:rPr>
          <w:rFonts w:eastAsia="Times New Roman"/>
          <w:sz w:val="21"/>
          <w:szCs w:val="21"/>
        </w:rPr>
        <w:tab/>
        <w:t xml:space="preserve">2.  A person </w:t>
      </w:r>
      <w:r>
        <w:rPr>
          <w:rFonts w:eastAsia="Times New Roman"/>
          <w:b/>
          <w:bCs/>
          <w:sz w:val="21"/>
          <w:szCs w:val="21"/>
        </w:rPr>
        <w:t>“</w:t>
      </w:r>
      <w:r w:rsidRPr="009A74C0">
        <w:rPr>
          <w:rFonts w:eastAsia="Times New Roman"/>
          <w:b/>
          <w:bCs/>
          <w:sz w:val="21"/>
          <w:szCs w:val="21"/>
        </w:rPr>
        <w:t>acts purposely</w:t>
      </w:r>
      <w:r>
        <w:rPr>
          <w:rFonts w:eastAsia="Times New Roman"/>
          <w:b/>
          <w:bCs/>
          <w:sz w:val="21"/>
          <w:szCs w:val="21"/>
        </w:rPr>
        <w:t>”</w:t>
      </w:r>
      <w:r w:rsidRPr="009A74C0">
        <w:rPr>
          <w:rFonts w:eastAsia="Times New Roman"/>
          <w:sz w:val="21"/>
          <w:szCs w:val="21"/>
        </w:rPr>
        <w:t>, or with purpose, with respect to his or her conduct or to a result thereof when it is his or her conscious object to engage in that conduct or to cause that result.</w:t>
      </w:r>
    </w:p>
    <w:p w14:paraId="101DDD16" w14:textId="77777777" w:rsidR="009A74C0" w:rsidRPr="009A74C0" w:rsidRDefault="009A74C0" w:rsidP="009A74C0">
      <w:pPr>
        <w:widowControl w:val="0"/>
        <w:tabs>
          <w:tab w:val="left" w:pos="360"/>
        </w:tabs>
        <w:suppressAutoHyphens/>
        <w:rPr>
          <w:rFonts w:eastAsia="Times New Roman"/>
          <w:sz w:val="21"/>
          <w:szCs w:val="21"/>
        </w:rPr>
      </w:pPr>
      <w:r w:rsidRPr="009A74C0">
        <w:rPr>
          <w:rFonts w:eastAsia="Times New Roman"/>
          <w:sz w:val="21"/>
          <w:szCs w:val="21"/>
        </w:rPr>
        <w:tab/>
        <w:t xml:space="preserve">3.  A person </w:t>
      </w:r>
      <w:r>
        <w:rPr>
          <w:rFonts w:eastAsia="Times New Roman"/>
          <w:b/>
          <w:bCs/>
          <w:sz w:val="21"/>
          <w:szCs w:val="21"/>
        </w:rPr>
        <w:t>“</w:t>
      </w:r>
      <w:r w:rsidRPr="009A74C0">
        <w:rPr>
          <w:rFonts w:eastAsia="Times New Roman"/>
          <w:b/>
          <w:bCs/>
          <w:sz w:val="21"/>
          <w:szCs w:val="21"/>
        </w:rPr>
        <w:t>acts knowingly</w:t>
      </w:r>
      <w:r>
        <w:rPr>
          <w:rFonts w:eastAsia="Times New Roman"/>
          <w:b/>
          <w:bCs/>
          <w:sz w:val="21"/>
          <w:szCs w:val="21"/>
        </w:rPr>
        <w:t>”</w:t>
      </w:r>
      <w:r w:rsidRPr="009A74C0">
        <w:rPr>
          <w:rFonts w:eastAsia="Times New Roman"/>
          <w:sz w:val="21"/>
          <w:szCs w:val="21"/>
        </w:rPr>
        <w:t>, or with knowledge:</w:t>
      </w:r>
    </w:p>
    <w:p w14:paraId="64B73C2E" w14:textId="77777777" w:rsidR="009A74C0" w:rsidRPr="009A74C0" w:rsidRDefault="009A74C0" w:rsidP="009A74C0">
      <w:pPr>
        <w:widowControl w:val="0"/>
        <w:tabs>
          <w:tab w:val="left" w:pos="360"/>
        </w:tabs>
        <w:suppressAutoHyphens/>
        <w:rPr>
          <w:rFonts w:eastAsia="Times New Roman"/>
          <w:sz w:val="21"/>
          <w:szCs w:val="21"/>
        </w:rPr>
      </w:pPr>
      <w:r w:rsidRPr="009A74C0">
        <w:rPr>
          <w:rFonts w:eastAsia="Times New Roman"/>
          <w:sz w:val="21"/>
          <w:szCs w:val="21"/>
        </w:rPr>
        <w:tab/>
        <w:t>(1)  With respect to his or her conduct or to attendant circumstances when he or she is aware of the nature of his or her conduct or that those circumstances exist; or</w:t>
      </w:r>
    </w:p>
    <w:p w14:paraId="648C8A79" w14:textId="77777777" w:rsidR="009A74C0" w:rsidRPr="009A74C0" w:rsidRDefault="009A74C0" w:rsidP="009A74C0">
      <w:pPr>
        <w:widowControl w:val="0"/>
        <w:tabs>
          <w:tab w:val="left" w:pos="360"/>
        </w:tabs>
        <w:suppressAutoHyphens/>
        <w:rPr>
          <w:rFonts w:eastAsia="Times New Roman"/>
          <w:sz w:val="21"/>
          <w:szCs w:val="21"/>
        </w:rPr>
      </w:pPr>
      <w:r w:rsidRPr="009A74C0">
        <w:rPr>
          <w:rFonts w:eastAsia="Times New Roman"/>
          <w:sz w:val="21"/>
          <w:szCs w:val="21"/>
        </w:rPr>
        <w:tab/>
        <w:t>(2)  With respect to a result of his or her conduct when he or she is aware that his or her conduct is practically certain to cause that result.</w:t>
      </w:r>
    </w:p>
    <w:p w14:paraId="7EA93505" w14:textId="77777777" w:rsidR="009A74C0" w:rsidRPr="009A74C0" w:rsidRDefault="009A74C0" w:rsidP="009A74C0">
      <w:pPr>
        <w:widowControl w:val="0"/>
        <w:tabs>
          <w:tab w:val="left" w:pos="360"/>
        </w:tabs>
        <w:suppressAutoHyphens/>
        <w:rPr>
          <w:rFonts w:eastAsia="Times New Roman"/>
          <w:sz w:val="21"/>
          <w:szCs w:val="21"/>
        </w:rPr>
      </w:pPr>
      <w:r w:rsidRPr="009A74C0">
        <w:rPr>
          <w:rFonts w:eastAsia="Times New Roman"/>
          <w:sz w:val="21"/>
          <w:szCs w:val="21"/>
        </w:rPr>
        <w:tab/>
        <w:t xml:space="preserve">4.  A person </w:t>
      </w:r>
      <w:r>
        <w:rPr>
          <w:rFonts w:eastAsia="Times New Roman"/>
          <w:b/>
          <w:bCs/>
          <w:sz w:val="21"/>
          <w:szCs w:val="21"/>
        </w:rPr>
        <w:t>“</w:t>
      </w:r>
      <w:r w:rsidRPr="009A74C0">
        <w:rPr>
          <w:rFonts w:eastAsia="Times New Roman"/>
          <w:b/>
          <w:bCs/>
          <w:sz w:val="21"/>
          <w:szCs w:val="21"/>
        </w:rPr>
        <w:t>acts recklessly</w:t>
      </w:r>
      <w:r>
        <w:rPr>
          <w:rFonts w:eastAsia="Times New Roman"/>
          <w:b/>
          <w:bCs/>
          <w:sz w:val="21"/>
          <w:szCs w:val="21"/>
        </w:rPr>
        <w:t>”</w:t>
      </w:r>
      <w:r w:rsidRPr="009A74C0">
        <w:rPr>
          <w:rFonts w:eastAsia="Times New Roman"/>
          <w:sz w:val="21"/>
          <w:szCs w:val="21"/>
        </w:rPr>
        <w:t xml:space="preserve"> or is reckless when he or she consciously disregards a substantial and unjustifiable risk that circumstances exist or that a result will follow, and such disregard constitutes a gross deviation from the standard of care which a reasonable person would exercise in the situation.</w:t>
      </w:r>
    </w:p>
    <w:p w14:paraId="3C6404B1" w14:textId="77777777" w:rsidR="009A74C0" w:rsidRPr="009A74C0" w:rsidRDefault="009A74C0" w:rsidP="009A74C0">
      <w:pPr>
        <w:widowControl w:val="0"/>
        <w:tabs>
          <w:tab w:val="left" w:pos="360"/>
        </w:tabs>
        <w:suppressAutoHyphens/>
        <w:rPr>
          <w:rFonts w:eastAsia="Times New Roman"/>
          <w:sz w:val="21"/>
          <w:szCs w:val="21"/>
        </w:rPr>
      </w:pPr>
      <w:r w:rsidRPr="009A74C0">
        <w:rPr>
          <w:rFonts w:eastAsia="Times New Roman"/>
          <w:sz w:val="21"/>
          <w:szCs w:val="21"/>
        </w:rPr>
        <w:tab/>
        <w:t xml:space="preserve">5.  A person </w:t>
      </w:r>
      <w:r>
        <w:rPr>
          <w:rFonts w:eastAsia="Times New Roman"/>
          <w:b/>
          <w:bCs/>
          <w:sz w:val="21"/>
          <w:szCs w:val="21"/>
        </w:rPr>
        <w:t>“</w:t>
      </w:r>
      <w:r w:rsidRPr="009A74C0">
        <w:rPr>
          <w:rFonts w:eastAsia="Times New Roman"/>
          <w:b/>
          <w:bCs/>
          <w:sz w:val="21"/>
          <w:szCs w:val="21"/>
        </w:rPr>
        <w:t>acts with criminal negligence</w:t>
      </w:r>
      <w:r>
        <w:rPr>
          <w:rFonts w:eastAsia="Times New Roman"/>
          <w:b/>
          <w:bCs/>
          <w:sz w:val="21"/>
          <w:szCs w:val="21"/>
        </w:rPr>
        <w:t>”</w:t>
      </w:r>
      <w:r w:rsidRPr="009A74C0">
        <w:rPr>
          <w:rFonts w:eastAsia="Times New Roman"/>
          <w:sz w:val="21"/>
          <w:szCs w:val="21"/>
        </w:rPr>
        <w:t xml:space="preserve"> or is criminally negligent when he or she fails to be aware of a substantial and unjustifiable risk that circumstances exist or a result will follow, and such failure constitutes a gross deviation from the standard of care which a reasonable person would exercise in the situation.</w:t>
      </w:r>
    </w:p>
    <w:p w14:paraId="6414C826" w14:textId="77777777" w:rsidR="009A74C0" w:rsidRPr="009A74C0" w:rsidRDefault="009A74C0" w:rsidP="009A74C0">
      <w:pPr>
        <w:widowControl w:val="0"/>
        <w:tabs>
          <w:tab w:val="left" w:pos="360"/>
        </w:tabs>
        <w:suppressAutoHyphens/>
        <w:rPr>
          <w:rFonts w:eastAsia="Times New Roman"/>
          <w:i/>
          <w:iCs/>
          <w:color w:val="FFFFFF"/>
          <w:sz w:val="8"/>
          <w:szCs w:val="8"/>
        </w:rPr>
      </w:pPr>
      <w:r w:rsidRPr="009A74C0">
        <w:rPr>
          <w:rFonts w:eastAsia="Times New Roman"/>
          <w:i/>
          <w:iCs/>
          <w:color w:val="FFFFFF"/>
          <w:sz w:val="8"/>
          <w:szCs w:val="8"/>
        </w:rPr>
        <w:softHyphen/>
      </w:r>
      <w:r w:rsidRPr="009A74C0">
        <w:rPr>
          <w:rFonts w:eastAsia="Times New Roman"/>
          <w:i/>
          <w:iCs/>
          <w:color w:val="FFFFFF"/>
          <w:sz w:val="8"/>
          <w:szCs w:val="8"/>
        </w:rPr>
        <w:softHyphen/>
      </w:r>
    </w:p>
    <w:p w14:paraId="0C4F4F72" w14:textId="77777777" w:rsidR="009A74C0" w:rsidRPr="009A74C0" w:rsidRDefault="009A74C0" w:rsidP="009A74C0">
      <w:pPr>
        <w:widowControl w:val="0"/>
        <w:tabs>
          <w:tab w:val="left" w:pos="360"/>
        </w:tabs>
        <w:suppressAutoHyphens/>
        <w:rPr>
          <w:rFonts w:eastAsia="Times New Roman"/>
          <w:sz w:val="16"/>
          <w:szCs w:val="16"/>
        </w:rPr>
      </w:pPr>
      <w:r w:rsidRPr="009A74C0">
        <w:rPr>
          <w:rFonts w:eastAsia="Times New Roman"/>
          <w:sz w:val="16"/>
          <w:szCs w:val="16"/>
        </w:rPr>
        <w:t xml:space="preserve">(L. 1977 S.B. 60, A.L. 2014 S.B. 491) </w:t>
      </w:r>
    </w:p>
    <w:p w14:paraId="59A782A2" w14:textId="77777777" w:rsidR="009A74C0" w:rsidRPr="009A74C0" w:rsidRDefault="009A74C0" w:rsidP="009A74C0">
      <w:pPr>
        <w:widowControl w:val="0"/>
        <w:tabs>
          <w:tab w:val="left" w:pos="360"/>
        </w:tabs>
        <w:suppressAutoHyphens/>
        <w:rPr>
          <w:rFonts w:eastAsia="Times New Roman"/>
          <w:sz w:val="6"/>
          <w:szCs w:val="6"/>
        </w:rPr>
      </w:pPr>
      <w:r w:rsidRPr="009A74C0">
        <w:rPr>
          <w:rFonts w:eastAsia="Times New Roman"/>
          <w:sz w:val="6"/>
          <w:szCs w:val="6"/>
        </w:rPr>
        <w:t xml:space="preserve"> </w:t>
      </w:r>
    </w:p>
    <w:p w14:paraId="0A4B5FDD" w14:textId="77777777" w:rsidR="009A74C0" w:rsidRPr="009A74C0" w:rsidRDefault="009A74C0" w:rsidP="009A74C0">
      <w:pPr>
        <w:widowControl w:val="0"/>
        <w:tabs>
          <w:tab w:val="left" w:pos="360"/>
        </w:tabs>
        <w:suppressAutoHyphens/>
        <w:rPr>
          <w:rFonts w:eastAsia="Times New Roman"/>
          <w:sz w:val="16"/>
          <w:szCs w:val="16"/>
        </w:rPr>
      </w:pPr>
      <w:r w:rsidRPr="009A74C0">
        <w:rPr>
          <w:rFonts w:eastAsia="Times New Roman"/>
          <w:sz w:val="16"/>
          <w:szCs w:val="16"/>
        </w:rPr>
        <w:t xml:space="preserve">Effective 1-01-17 </w:t>
      </w:r>
    </w:p>
    <w:p w14:paraId="08A9610E" w14:textId="77777777" w:rsidR="009A74C0" w:rsidRPr="009A74C0" w:rsidRDefault="009A74C0" w:rsidP="009A74C0">
      <w:pPr>
        <w:widowControl w:val="0"/>
        <w:tabs>
          <w:tab w:val="left" w:pos="360"/>
        </w:tabs>
        <w:suppressAutoHyphens/>
        <w:rPr>
          <w:rFonts w:eastAsia="Times New Roman"/>
          <w:sz w:val="6"/>
          <w:szCs w:val="6"/>
        </w:rPr>
      </w:pPr>
      <w:r w:rsidRPr="009A74C0">
        <w:rPr>
          <w:rFonts w:eastAsia="Times New Roman"/>
          <w:sz w:val="6"/>
          <w:szCs w:val="6"/>
        </w:rPr>
        <w:t xml:space="preserve"> </w:t>
      </w:r>
    </w:p>
    <w:p w14:paraId="64FCF94D" w14:textId="77777777" w:rsidR="009A74C0" w:rsidRDefault="009A74C0" w:rsidP="009A74C0">
      <w:pPr>
        <w:widowControl w:val="0"/>
        <w:tabs>
          <w:tab w:val="left" w:pos="360"/>
        </w:tabs>
        <w:suppressAutoHyphens/>
        <w:sectPr w:rsidR="009A74C0" w:rsidSect="0027744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728" w:right="1872" w:bottom="1728" w:left="2592" w:header="1296" w:footer="1296" w:gutter="0"/>
          <w:cols w:space="720"/>
          <w:titlePg/>
          <w:docGrid w:linePitch="360"/>
        </w:sectPr>
      </w:pPr>
    </w:p>
    <w:p w14:paraId="57F4E70C" w14:textId="77777777" w:rsidR="00153AFC" w:rsidRPr="009A74C0" w:rsidRDefault="00153AFC" w:rsidP="009A74C0">
      <w:pPr>
        <w:widowControl w:val="0"/>
        <w:tabs>
          <w:tab w:val="left" w:pos="360"/>
        </w:tabs>
        <w:suppressAutoHyphens/>
        <w:rPr>
          <w:sz w:val="8"/>
        </w:rPr>
      </w:pPr>
    </w:p>
    <w:sectPr w:rsidR="00153AFC" w:rsidRPr="009A74C0" w:rsidSect="00277447">
      <w:type w:val="continuous"/>
      <w:pgSz w:w="12240" w:h="15840" w:code="1"/>
      <w:pgMar w:top="1728" w:right="1872" w:bottom="1728" w:left="2592"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15CB" w14:textId="77777777" w:rsidR="008E2990" w:rsidRDefault="008E2990" w:rsidP="00113BED">
      <w:r>
        <w:separator/>
      </w:r>
    </w:p>
  </w:endnote>
  <w:endnote w:type="continuationSeparator" w:id="0">
    <w:p w14:paraId="0D907DDD" w14:textId="77777777" w:rsidR="008E2990" w:rsidRDefault="008E2990" w:rsidP="0011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521"/>
      <w:gridCol w:w="531"/>
    </w:tblGrid>
    <w:tr w:rsidR="0096713D" w:rsidRPr="00277447" w14:paraId="6D98CB10" w14:textId="77777777" w:rsidTr="00EB3D67">
      <w:trPr>
        <w:jc w:val="center"/>
      </w:trPr>
      <w:tc>
        <w:tcPr>
          <w:tcW w:w="864" w:type="dxa"/>
          <w:tcMar>
            <w:left w:w="29" w:type="dxa"/>
            <w:right w:w="115" w:type="dxa"/>
          </w:tcMar>
          <w:vAlign w:val="center"/>
        </w:tcPr>
        <w:p w14:paraId="107DC11C" w14:textId="77777777" w:rsidR="0096713D" w:rsidRPr="00277447" w:rsidRDefault="0096713D" w:rsidP="002C4B6F">
          <w:pPr>
            <w:pStyle w:val="Header"/>
            <w:rPr>
              <w:sz w:val="18"/>
              <w:szCs w:val="18"/>
            </w:rPr>
          </w:pPr>
          <w:r w:rsidRPr="0096713D">
            <w:rPr>
              <w:sz w:val="18"/>
              <w:szCs w:val="18"/>
            </w:rPr>
            <w:fldChar w:fldCharType="begin"/>
          </w:r>
          <w:r w:rsidRPr="0096713D">
            <w:rPr>
              <w:sz w:val="18"/>
              <w:szCs w:val="18"/>
            </w:rPr>
            <w:instrText xml:space="preserve"> PAGE   \* MERGEFORMAT </w:instrText>
          </w:r>
          <w:r w:rsidRPr="0096713D">
            <w:rPr>
              <w:sz w:val="18"/>
              <w:szCs w:val="18"/>
            </w:rPr>
            <w:fldChar w:fldCharType="separate"/>
          </w:r>
          <w:r w:rsidR="00EB3D67">
            <w:rPr>
              <w:noProof/>
              <w:sz w:val="18"/>
              <w:szCs w:val="18"/>
            </w:rPr>
            <w:t>2</w:t>
          </w:r>
          <w:r w:rsidRPr="0096713D">
            <w:rPr>
              <w:noProof/>
              <w:sz w:val="18"/>
              <w:szCs w:val="18"/>
            </w:rPr>
            <w:fldChar w:fldCharType="end"/>
          </w:r>
        </w:p>
      </w:tc>
      <w:tc>
        <w:tcPr>
          <w:tcW w:w="7272" w:type="dxa"/>
          <w:tcMar>
            <w:left w:w="115" w:type="dxa"/>
            <w:right w:w="115" w:type="dxa"/>
          </w:tcMar>
          <w:vAlign w:val="center"/>
        </w:tcPr>
        <w:p w14:paraId="436618AD" w14:textId="77777777" w:rsidR="0096713D" w:rsidRPr="00277447" w:rsidRDefault="0096713D" w:rsidP="002C4B6F">
          <w:pPr>
            <w:pStyle w:val="Header"/>
            <w:jc w:val="center"/>
            <w:rPr>
              <w:sz w:val="18"/>
              <w:szCs w:val="18"/>
            </w:rPr>
          </w:pPr>
        </w:p>
      </w:tc>
      <w:tc>
        <w:tcPr>
          <w:tcW w:w="576" w:type="dxa"/>
          <w:tcMar>
            <w:left w:w="115" w:type="dxa"/>
            <w:right w:w="29" w:type="dxa"/>
          </w:tcMar>
          <w:vAlign w:val="center"/>
        </w:tcPr>
        <w:p w14:paraId="3ECD85F5" w14:textId="77777777" w:rsidR="0096713D" w:rsidRPr="00277447" w:rsidRDefault="0096713D" w:rsidP="002C4B6F">
          <w:pPr>
            <w:pStyle w:val="Header"/>
            <w:jc w:val="right"/>
            <w:rPr>
              <w:sz w:val="18"/>
              <w:szCs w:val="18"/>
            </w:rPr>
          </w:pPr>
        </w:p>
      </w:tc>
    </w:tr>
  </w:tbl>
  <w:p w14:paraId="19B31475" w14:textId="77777777" w:rsidR="0096713D" w:rsidRPr="00277447" w:rsidRDefault="0096713D" w:rsidP="0096713D">
    <w:pPr>
      <w:pStyle w:val="Head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7116161F" w14:textId="77777777" w:rsidTr="00EB3D67">
      <w:trPr>
        <w:jc w:val="center"/>
      </w:trPr>
      <w:tc>
        <w:tcPr>
          <w:tcW w:w="576" w:type="dxa"/>
          <w:vAlign w:val="center"/>
        </w:tcPr>
        <w:p w14:paraId="4508E6EB" w14:textId="77777777" w:rsidR="00945DA4" w:rsidRPr="00277447" w:rsidRDefault="00945DA4" w:rsidP="002C4B6F">
          <w:pPr>
            <w:pStyle w:val="Header"/>
            <w:rPr>
              <w:sz w:val="18"/>
              <w:szCs w:val="18"/>
            </w:rPr>
          </w:pPr>
        </w:p>
      </w:tc>
      <w:tc>
        <w:tcPr>
          <w:tcW w:w="7272" w:type="dxa"/>
          <w:tcMar>
            <w:left w:w="115" w:type="dxa"/>
            <w:right w:w="115" w:type="dxa"/>
          </w:tcMar>
          <w:vAlign w:val="center"/>
        </w:tcPr>
        <w:p w14:paraId="018FABA7" w14:textId="77777777" w:rsidR="00945DA4" w:rsidRPr="00277447" w:rsidRDefault="00945DA4" w:rsidP="00945DA4">
          <w:pPr>
            <w:pStyle w:val="Header"/>
            <w:jc w:val="center"/>
            <w:rPr>
              <w:sz w:val="18"/>
              <w:szCs w:val="18"/>
            </w:rPr>
          </w:pPr>
        </w:p>
      </w:tc>
      <w:tc>
        <w:tcPr>
          <w:tcW w:w="864" w:type="dxa"/>
          <w:tcMar>
            <w:left w:w="115" w:type="dxa"/>
            <w:right w:w="29" w:type="dxa"/>
          </w:tcMar>
          <w:vAlign w:val="center"/>
        </w:tcPr>
        <w:p w14:paraId="7FB8D6D1" w14:textId="77777777" w:rsidR="00945DA4" w:rsidRPr="00277447" w:rsidRDefault="00945DA4"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EB3D67">
            <w:rPr>
              <w:noProof/>
              <w:sz w:val="18"/>
              <w:szCs w:val="18"/>
            </w:rPr>
            <w:t>3</w:t>
          </w:r>
          <w:r w:rsidRPr="00945DA4">
            <w:rPr>
              <w:noProof/>
              <w:sz w:val="18"/>
              <w:szCs w:val="18"/>
            </w:rPr>
            <w:fldChar w:fldCharType="end"/>
          </w:r>
        </w:p>
      </w:tc>
    </w:tr>
  </w:tbl>
  <w:p w14:paraId="775B94ED" w14:textId="77777777" w:rsidR="00945DA4" w:rsidRPr="00277447" w:rsidRDefault="00945DA4" w:rsidP="00945DA4">
    <w:pPr>
      <w:pStyle w:val="Head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6CFC1192" w14:textId="77777777" w:rsidTr="00EB3D67">
      <w:trPr>
        <w:jc w:val="center"/>
      </w:trPr>
      <w:tc>
        <w:tcPr>
          <w:tcW w:w="576" w:type="dxa"/>
          <w:vAlign w:val="center"/>
        </w:tcPr>
        <w:p w14:paraId="1A282E52" w14:textId="77777777" w:rsidR="0096713D" w:rsidRPr="00277447" w:rsidRDefault="0096713D" w:rsidP="002C4B6F">
          <w:pPr>
            <w:pStyle w:val="Header"/>
            <w:rPr>
              <w:sz w:val="18"/>
              <w:szCs w:val="18"/>
            </w:rPr>
          </w:pPr>
        </w:p>
      </w:tc>
      <w:tc>
        <w:tcPr>
          <w:tcW w:w="7272" w:type="dxa"/>
          <w:tcMar>
            <w:left w:w="115" w:type="dxa"/>
            <w:right w:w="115" w:type="dxa"/>
          </w:tcMar>
          <w:vAlign w:val="center"/>
        </w:tcPr>
        <w:p w14:paraId="1285AD93" w14:textId="77777777" w:rsidR="0096713D" w:rsidRPr="00277447" w:rsidRDefault="0096713D" w:rsidP="002C4B6F">
          <w:pPr>
            <w:pStyle w:val="Header"/>
            <w:jc w:val="center"/>
            <w:rPr>
              <w:sz w:val="18"/>
              <w:szCs w:val="18"/>
            </w:rPr>
          </w:pPr>
        </w:p>
      </w:tc>
      <w:tc>
        <w:tcPr>
          <w:tcW w:w="864" w:type="dxa"/>
          <w:tcMar>
            <w:left w:w="115" w:type="dxa"/>
            <w:right w:w="29" w:type="dxa"/>
          </w:tcMar>
          <w:vAlign w:val="center"/>
        </w:tcPr>
        <w:p w14:paraId="2D609335" w14:textId="77777777" w:rsidR="0096713D" w:rsidRPr="00277447" w:rsidRDefault="0096713D"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9A74C0">
            <w:rPr>
              <w:noProof/>
              <w:sz w:val="18"/>
              <w:szCs w:val="18"/>
            </w:rPr>
            <w:t>1</w:t>
          </w:r>
          <w:r w:rsidRPr="00945DA4">
            <w:rPr>
              <w:noProof/>
              <w:sz w:val="18"/>
              <w:szCs w:val="18"/>
            </w:rPr>
            <w:fldChar w:fldCharType="end"/>
          </w:r>
        </w:p>
      </w:tc>
    </w:tr>
  </w:tbl>
  <w:p w14:paraId="1D3B0C85" w14:textId="77777777" w:rsidR="0096713D" w:rsidRPr="00277447" w:rsidRDefault="0096713D" w:rsidP="0096713D">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CA9" w14:textId="77777777" w:rsidR="008E2990" w:rsidRDefault="008E2990" w:rsidP="00113BED">
      <w:r>
        <w:separator/>
      </w:r>
    </w:p>
  </w:footnote>
  <w:footnote w:type="continuationSeparator" w:id="0">
    <w:p w14:paraId="3D6B7E30" w14:textId="77777777" w:rsidR="008E2990" w:rsidRDefault="008E2990" w:rsidP="0011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3"/>
    </w:tblGrid>
    <w:tr w:rsidR="00956A3F" w:rsidRPr="00277447" w14:paraId="2818D3D8" w14:textId="77777777" w:rsidTr="00956A3F">
      <w:trPr>
        <w:jc w:val="center"/>
      </w:trPr>
      <w:tc>
        <w:tcPr>
          <w:tcW w:w="7704" w:type="dxa"/>
          <w:tcMar>
            <w:left w:w="72" w:type="dxa"/>
            <w:right w:w="115" w:type="dxa"/>
          </w:tcMar>
          <w:vAlign w:val="center"/>
        </w:tcPr>
        <w:p w14:paraId="5B7F344E" w14:textId="77777777" w:rsidR="00956A3F" w:rsidRPr="00277447" w:rsidRDefault="00956A3F" w:rsidP="002C4B6F">
          <w:pPr>
            <w:pStyle w:val="Header"/>
            <w:rPr>
              <w:sz w:val="18"/>
              <w:szCs w:val="18"/>
            </w:rPr>
          </w:pPr>
        </w:p>
      </w:tc>
      <w:tc>
        <w:tcPr>
          <w:tcW w:w="144" w:type="dxa"/>
          <w:tcMar>
            <w:left w:w="115" w:type="dxa"/>
            <w:right w:w="72" w:type="dxa"/>
          </w:tcMar>
          <w:vAlign w:val="center"/>
        </w:tcPr>
        <w:p w14:paraId="3A068B3F" w14:textId="77777777" w:rsidR="00956A3F" w:rsidRPr="00277447" w:rsidRDefault="00956A3F" w:rsidP="002C4B6F">
          <w:pPr>
            <w:pStyle w:val="Header"/>
            <w:jc w:val="right"/>
            <w:rPr>
              <w:sz w:val="18"/>
              <w:szCs w:val="18"/>
            </w:rPr>
          </w:pPr>
        </w:p>
      </w:tc>
    </w:tr>
  </w:tbl>
  <w:p w14:paraId="5B83C4C8" w14:textId="77777777" w:rsidR="00956A3F" w:rsidRPr="00277447" w:rsidRDefault="00956A3F" w:rsidP="00956A3F">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956A3F" w:rsidRPr="00277447" w14:paraId="34CC9692" w14:textId="77777777" w:rsidTr="002C4B6F">
      <w:trPr>
        <w:jc w:val="center"/>
      </w:trPr>
      <w:tc>
        <w:tcPr>
          <w:tcW w:w="144" w:type="dxa"/>
          <w:vAlign w:val="center"/>
        </w:tcPr>
        <w:p w14:paraId="35CEC79B" w14:textId="77777777" w:rsidR="00956A3F" w:rsidRPr="00277447" w:rsidRDefault="00956A3F" w:rsidP="002C4B6F">
          <w:pPr>
            <w:pStyle w:val="Header"/>
            <w:rPr>
              <w:sz w:val="18"/>
              <w:szCs w:val="18"/>
            </w:rPr>
          </w:pPr>
        </w:p>
      </w:tc>
      <w:tc>
        <w:tcPr>
          <w:tcW w:w="7704" w:type="dxa"/>
          <w:tcMar>
            <w:left w:w="115" w:type="dxa"/>
            <w:right w:w="72" w:type="dxa"/>
          </w:tcMar>
          <w:vAlign w:val="center"/>
        </w:tcPr>
        <w:p w14:paraId="58CC685D" w14:textId="77777777" w:rsidR="00956A3F" w:rsidRPr="00277447" w:rsidRDefault="00956A3F" w:rsidP="002C4B6F">
          <w:pPr>
            <w:pStyle w:val="Header"/>
            <w:jc w:val="right"/>
            <w:rPr>
              <w:sz w:val="18"/>
              <w:szCs w:val="18"/>
            </w:rPr>
          </w:pPr>
        </w:p>
      </w:tc>
    </w:tr>
  </w:tbl>
  <w:p w14:paraId="27B93043" w14:textId="77777777" w:rsidR="00956A3F" w:rsidRPr="00277447" w:rsidRDefault="00956A3F" w:rsidP="00956A3F">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277447" w:rsidRPr="00277447" w14:paraId="2EF9285C" w14:textId="77777777" w:rsidTr="00956A3F">
      <w:trPr>
        <w:jc w:val="center"/>
      </w:trPr>
      <w:tc>
        <w:tcPr>
          <w:tcW w:w="144" w:type="dxa"/>
          <w:vAlign w:val="center"/>
        </w:tcPr>
        <w:p w14:paraId="6BE66176" w14:textId="77777777" w:rsidR="00277447" w:rsidRPr="00277447" w:rsidRDefault="00277447" w:rsidP="008B537F">
          <w:pPr>
            <w:pStyle w:val="Header"/>
            <w:rPr>
              <w:sz w:val="18"/>
              <w:szCs w:val="18"/>
            </w:rPr>
          </w:pPr>
        </w:p>
      </w:tc>
      <w:tc>
        <w:tcPr>
          <w:tcW w:w="7704" w:type="dxa"/>
          <w:tcMar>
            <w:left w:w="115" w:type="dxa"/>
            <w:right w:w="72" w:type="dxa"/>
          </w:tcMar>
          <w:vAlign w:val="center"/>
        </w:tcPr>
        <w:p w14:paraId="0035E75A" w14:textId="77777777" w:rsidR="00277447" w:rsidRPr="00277447" w:rsidRDefault="00277447" w:rsidP="00956A3F">
          <w:pPr>
            <w:pStyle w:val="Header"/>
            <w:jc w:val="right"/>
            <w:rPr>
              <w:sz w:val="18"/>
              <w:szCs w:val="18"/>
            </w:rPr>
          </w:pPr>
        </w:p>
      </w:tc>
    </w:tr>
  </w:tbl>
  <w:p w14:paraId="278E21E6" w14:textId="77777777" w:rsidR="00277447" w:rsidRPr="00277447" w:rsidRDefault="00277447" w:rsidP="00277447">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70"/>
    <w:rsid w:val="0001345D"/>
    <w:rsid w:val="00025268"/>
    <w:rsid w:val="00025A82"/>
    <w:rsid w:val="00053E40"/>
    <w:rsid w:val="00062A49"/>
    <w:rsid w:val="000A2727"/>
    <w:rsid w:val="000A388C"/>
    <w:rsid w:val="000A7096"/>
    <w:rsid w:val="000B6A41"/>
    <w:rsid w:val="000D604C"/>
    <w:rsid w:val="000F4604"/>
    <w:rsid w:val="00113BED"/>
    <w:rsid w:val="00115E10"/>
    <w:rsid w:val="00153AFC"/>
    <w:rsid w:val="001913EC"/>
    <w:rsid w:val="001F13A4"/>
    <w:rsid w:val="00277447"/>
    <w:rsid w:val="00282957"/>
    <w:rsid w:val="002E59DF"/>
    <w:rsid w:val="002F21B2"/>
    <w:rsid w:val="003155C4"/>
    <w:rsid w:val="00315E1D"/>
    <w:rsid w:val="0035339B"/>
    <w:rsid w:val="003A6FE2"/>
    <w:rsid w:val="003B3640"/>
    <w:rsid w:val="003C731D"/>
    <w:rsid w:val="003E0385"/>
    <w:rsid w:val="004154B1"/>
    <w:rsid w:val="00455BA7"/>
    <w:rsid w:val="00485DB3"/>
    <w:rsid w:val="00486DF2"/>
    <w:rsid w:val="004B0F9C"/>
    <w:rsid w:val="004B5BD6"/>
    <w:rsid w:val="004C002F"/>
    <w:rsid w:val="004C7E7F"/>
    <w:rsid w:val="005069B3"/>
    <w:rsid w:val="0055182E"/>
    <w:rsid w:val="00586012"/>
    <w:rsid w:val="005909E5"/>
    <w:rsid w:val="005B5495"/>
    <w:rsid w:val="00602C67"/>
    <w:rsid w:val="00622F5C"/>
    <w:rsid w:val="0062437D"/>
    <w:rsid w:val="00631F2B"/>
    <w:rsid w:val="00652054"/>
    <w:rsid w:val="00671BA5"/>
    <w:rsid w:val="00695A70"/>
    <w:rsid w:val="006E77AE"/>
    <w:rsid w:val="00725FD6"/>
    <w:rsid w:val="00745D10"/>
    <w:rsid w:val="007E17B4"/>
    <w:rsid w:val="008356F0"/>
    <w:rsid w:val="00843B4E"/>
    <w:rsid w:val="0089492F"/>
    <w:rsid w:val="008A1FC8"/>
    <w:rsid w:val="008D758F"/>
    <w:rsid w:val="008E2990"/>
    <w:rsid w:val="008F5EBD"/>
    <w:rsid w:val="0090300F"/>
    <w:rsid w:val="00923038"/>
    <w:rsid w:val="00924BBA"/>
    <w:rsid w:val="00940716"/>
    <w:rsid w:val="00945DA4"/>
    <w:rsid w:val="00956A3F"/>
    <w:rsid w:val="009605F0"/>
    <w:rsid w:val="0096713D"/>
    <w:rsid w:val="009A74C0"/>
    <w:rsid w:val="009E7DC9"/>
    <w:rsid w:val="00A2249E"/>
    <w:rsid w:val="00A273AB"/>
    <w:rsid w:val="00A4047A"/>
    <w:rsid w:val="00A5640A"/>
    <w:rsid w:val="00A8377B"/>
    <w:rsid w:val="00AD1D98"/>
    <w:rsid w:val="00B32CB8"/>
    <w:rsid w:val="00B420B5"/>
    <w:rsid w:val="00B43E3D"/>
    <w:rsid w:val="00BC2A1E"/>
    <w:rsid w:val="00C368C9"/>
    <w:rsid w:val="00C77559"/>
    <w:rsid w:val="00C917B7"/>
    <w:rsid w:val="00C921C7"/>
    <w:rsid w:val="00C92D88"/>
    <w:rsid w:val="00CA7552"/>
    <w:rsid w:val="00CB445D"/>
    <w:rsid w:val="00CE51FC"/>
    <w:rsid w:val="00CE6969"/>
    <w:rsid w:val="00D0344D"/>
    <w:rsid w:val="00D14AAE"/>
    <w:rsid w:val="00D17F61"/>
    <w:rsid w:val="00D214DC"/>
    <w:rsid w:val="00DB50CC"/>
    <w:rsid w:val="00DE0E67"/>
    <w:rsid w:val="00E25018"/>
    <w:rsid w:val="00E26E75"/>
    <w:rsid w:val="00E73FE1"/>
    <w:rsid w:val="00E84AA6"/>
    <w:rsid w:val="00EB2087"/>
    <w:rsid w:val="00EB3D67"/>
    <w:rsid w:val="00EC2BEF"/>
    <w:rsid w:val="00ED616F"/>
    <w:rsid w:val="00EE063C"/>
    <w:rsid w:val="00F07B20"/>
    <w:rsid w:val="00F160A8"/>
    <w:rsid w:val="00F226CB"/>
    <w:rsid w:val="00F42BB5"/>
    <w:rsid w:val="00F75B39"/>
    <w:rsid w:val="00F86DFA"/>
    <w:rsid w:val="00FB117C"/>
    <w:rsid w:val="00FE26D3"/>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E984791"/>
  <w15:docId w15:val="{60EFA10D-1769-4523-BC67-53CDE499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7C"/>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B32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62A49"/>
    <w:pPr>
      <w:spacing w:before="100" w:beforeAutospacing="1" w:after="100" w:afterAutospacing="1"/>
    </w:pPr>
    <w:rPr>
      <w:rFonts w:ascii="Courier New" w:hAnsi="Courier New" w:cs="Courier New"/>
    </w:rPr>
  </w:style>
  <w:style w:type="character" w:customStyle="1" w:styleId="norm1">
    <w:name w:val="norm1"/>
    <w:basedOn w:val="DefaultParagraphFont"/>
    <w:rsid w:val="00062A49"/>
    <w:rPr>
      <w:rFonts w:ascii="Courier New" w:hAnsi="Courier New" w:cs="Courier New" w:hint="default"/>
      <w:sz w:val="24"/>
      <w:szCs w:val="24"/>
    </w:rPr>
  </w:style>
  <w:style w:type="table" w:styleId="TableGrid">
    <w:name w:val="Table Grid"/>
    <w:basedOn w:val="TableNormal"/>
    <w:uiPriority w:val="59"/>
    <w:rsid w:val="00BC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2CB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13BED"/>
    <w:pPr>
      <w:tabs>
        <w:tab w:val="center" w:pos="4680"/>
        <w:tab w:val="right" w:pos="9360"/>
      </w:tabs>
    </w:pPr>
  </w:style>
  <w:style w:type="character" w:customStyle="1" w:styleId="HeaderChar">
    <w:name w:val="Header Char"/>
    <w:basedOn w:val="DefaultParagraphFont"/>
    <w:link w:val="Header"/>
    <w:uiPriority w:val="99"/>
    <w:rsid w:val="00113BE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13BED"/>
    <w:pPr>
      <w:tabs>
        <w:tab w:val="center" w:pos="4680"/>
        <w:tab w:val="right" w:pos="9360"/>
      </w:tabs>
    </w:pPr>
  </w:style>
  <w:style w:type="character" w:customStyle="1" w:styleId="FooterChar">
    <w:name w:val="Footer Char"/>
    <w:basedOn w:val="DefaultParagraphFont"/>
    <w:link w:val="Footer"/>
    <w:uiPriority w:val="99"/>
    <w:rsid w:val="00113BED"/>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F39F3"/>
    <w:rPr>
      <w:rFonts w:ascii="Tahoma" w:hAnsi="Tahoma" w:cs="Tahoma"/>
      <w:sz w:val="16"/>
      <w:szCs w:val="16"/>
    </w:rPr>
  </w:style>
  <w:style w:type="character" w:customStyle="1" w:styleId="BalloonTextChar">
    <w:name w:val="Balloon Text Char"/>
    <w:basedOn w:val="DefaultParagraphFont"/>
    <w:link w:val="BalloonText"/>
    <w:uiPriority w:val="99"/>
    <w:semiHidden/>
    <w:rsid w:val="00FF39F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0468">
      <w:bodyDiv w:val="1"/>
      <w:marLeft w:val="0"/>
      <w:marRight w:val="0"/>
      <w:marTop w:val="0"/>
      <w:marBottom w:val="0"/>
      <w:divBdr>
        <w:top w:val="none" w:sz="0" w:space="0" w:color="auto"/>
        <w:left w:val="none" w:sz="0" w:space="0" w:color="auto"/>
        <w:bottom w:val="none" w:sz="0" w:space="0" w:color="auto"/>
        <w:right w:val="none" w:sz="0" w:space="0" w:color="auto"/>
      </w:divBdr>
    </w:div>
    <w:div w:id="9209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805D2-AFDF-4F3A-BA06-0E17F074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section template</dc:subject>
  <dc:creator>Dewayne Basnett</dc:creator>
  <dc:description>1446525526</dc:description>
  <cp:lastModifiedBy>Maggie Johnston</cp:lastModifiedBy>
  <cp:revision>2</cp:revision>
  <cp:lastPrinted>2016-04-29T14:02:00Z</cp:lastPrinted>
  <dcterms:created xsi:type="dcterms:W3CDTF">2023-08-09T20:03:00Z</dcterms:created>
  <dcterms:modified xsi:type="dcterms:W3CDTF">2023-08-09T20:03:00Z</dcterms:modified>
</cp:coreProperties>
</file>