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AB33" w14:textId="77777777" w:rsidR="00EC179F" w:rsidRPr="00961EDD" w:rsidRDefault="00EC179F" w:rsidP="00EC179F">
      <w:pPr>
        <w:widowControl w:val="0"/>
        <w:tabs>
          <w:tab w:val="left" w:pos="360"/>
        </w:tabs>
        <w:suppressAutoHyphens/>
        <w:rPr>
          <w:rFonts w:eastAsia="Times New Roman"/>
        </w:rPr>
      </w:pPr>
      <w:bookmarkStart w:id="0" w:name="S569_160_"/>
      <w:r w:rsidRPr="00961EDD">
        <w:rPr>
          <w:rFonts w:eastAsia="Times New Roman"/>
          <w:b/>
          <w:bCs/>
        </w:rPr>
        <w:tab/>
      </w:r>
      <w:bookmarkEnd w:id="0"/>
      <w:r w:rsidRPr="00961EDD">
        <w:rPr>
          <w:rFonts w:eastAsia="Times New Roman"/>
          <w:b/>
          <w:bCs/>
        </w:rPr>
        <w:t xml:space="preserve">569.160.  Burglary in the first degree — penalty. — </w:t>
      </w:r>
      <w:r w:rsidRPr="00961EDD">
        <w:rPr>
          <w:rFonts w:eastAsia="Times New Roman"/>
        </w:rPr>
        <w:t>1.  A person commits the offense of burglary in the first degree if he or she knowingly enters unlawfully or knowingly remains unlawfully in a building or inhabitable structure for the purpose of committing an offense therein, and when in effecting entry or while in the building or inhabitable structure or in immediate flight therefrom, the person or another participant in the offense:</w:t>
      </w:r>
    </w:p>
    <w:p w14:paraId="17887D60"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ab/>
        <w:t>(1)  Is armed with explosives or a deadly weapon; or</w:t>
      </w:r>
    </w:p>
    <w:p w14:paraId="6A3E880A"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ab/>
        <w:t>(2)  Causes or threatens immediate physical injury to any person who is not a participant in the crime; or</w:t>
      </w:r>
    </w:p>
    <w:p w14:paraId="7BF5E25D"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ab/>
        <w:t>(3)  There is present in the structure another person who is not a participant in the crime.</w:t>
      </w:r>
    </w:p>
    <w:p w14:paraId="22F9F7DB"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ab/>
        <w:t>2.  The offense of burglary in the first degree is a class B felony.</w:t>
      </w:r>
    </w:p>
    <w:p w14:paraId="6AA65FF4" w14:textId="77777777" w:rsidR="00EC179F" w:rsidRPr="00961EDD" w:rsidRDefault="00EC179F" w:rsidP="00EC179F">
      <w:pPr>
        <w:widowControl w:val="0"/>
        <w:tabs>
          <w:tab w:val="left" w:pos="360"/>
        </w:tabs>
        <w:suppressAutoHyphens/>
        <w:rPr>
          <w:rFonts w:eastAsia="Times New Roman"/>
          <w:i/>
          <w:iCs/>
          <w:color w:val="FFFFFF"/>
        </w:rPr>
      </w:pPr>
      <w:r w:rsidRPr="00961EDD">
        <w:rPr>
          <w:rFonts w:eastAsia="Times New Roman"/>
          <w:i/>
          <w:iCs/>
          <w:color w:val="FFFFFF"/>
        </w:rPr>
        <w:softHyphen/>
      </w:r>
      <w:r w:rsidRPr="00961EDD">
        <w:rPr>
          <w:rFonts w:eastAsia="Times New Roman"/>
          <w:i/>
          <w:iCs/>
          <w:color w:val="FFFFFF"/>
        </w:rPr>
        <w:softHyphen/>
      </w:r>
    </w:p>
    <w:p w14:paraId="0BBBF3DA"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 xml:space="preserve">(L. 1977 S.B. 60, A.L. 2014 S.B. 491) </w:t>
      </w:r>
    </w:p>
    <w:p w14:paraId="4486AE5D"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 xml:space="preserve"> </w:t>
      </w:r>
    </w:p>
    <w:p w14:paraId="7DDBFA27"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 xml:space="preserve">Effective 1-01-17 </w:t>
      </w:r>
    </w:p>
    <w:p w14:paraId="7B18983C" w14:textId="77777777" w:rsidR="00EC179F" w:rsidRPr="00961EDD" w:rsidRDefault="00EC179F" w:rsidP="00EC179F">
      <w:pPr>
        <w:widowControl w:val="0"/>
        <w:tabs>
          <w:tab w:val="left" w:pos="360"/>
        </w:tabs>
        <w:suppressAutoHyphens/>
        <w:rPr>
          <w:rFonts w:eastAsia="Times New Roman"/>
        </w:rPr>
      </w:pPr>
      <w:r w:rsidRPr="00961EDD">
        <w:rPr>
          <w:rFonts w:eastAsia="Times New Roman"/>
        </w:rPr>
        <w:t xml:space="preserve"> </w:t>
      </w:r>
    </w:p>
    <w:p w14:paraId="1CEDA200" w14:textId="77777777" w:rsidR="00153AFC" w:rsidRPr="00961EDD" w:rsidRDefault="00153AFC" w:rsidP="00EC179F">
      <w:pPr>
        <w:widowControl w:val="0"/>
        <w:tabs>
          <w:tab w:val="left" w:pos="360"/>
        </w:tabs>
        <w:suppressAutoHyphens/>
      </w:pPr>
    </w:p>
    <w:sectPr w:rsidR="00153AFC" w:rsidRPr="00961EDD" w:rsidSect="0027744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728" w:right="1872" w:bottom="1728" w:left="2592" w:header="1296"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37CB" w14:textId="77777777" w:rsidR="008E2990" w:rsidRDefault="008E2990" w:rsidP="00113BED">
      <w:r>
        <w:separator/>
      </w:r>
    </w:p>
  </w:endnote>
  <w:endnote w:type="continuationSeparator" w:id="0">
    <w:p w14:paraId="4920E994" w14:textId="77777777" w:rsidR="008E2990" w:rsidRDefault="008E2990" w:rsidP="0011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6521"/>
      <w:gridCol w:w="531"/>
    </w:tblGrid>
    <w:tr w:rsidR="0096713D" w:rsidRPr="00277447" w14:paraId="1F9ED078" w14:textId="77777777" w:rsidTr="00EB3D67">
      <w:trPr>
        <w:jc w:val="center"/>
      </w:trPr>
      <w:tc>
        <w:tcPr>
          <w:tcW w:w="864" w:type="dxa"/>
          <w:tcMar>
            <w:left w:w="29" w:type="dxa"/>
            <w:right w:w="115" w:type="dxa"/>
          </w:tcMar>
          <w:vAlign w:val="center"/>
        </w:tcPr>
        <w:p w14:paraId="60D5D449" w14:textId="77777777" w:rsidR="0096713D" w:rsidRPr="00277447" w:rsidRDefault="0096713D" w:rsidP="002C4B6F">
          <w:pPr>
            <w:pStyle w:val="Header"/>
            <w:rPr>
              <w:sz w:val="18"/>
              <w:szCs w:val="18"/>
            </w:rPr>
          </w:pPr>
          <w:r w:rsidRPr="0096713D">
            <w:rPr>
              <w:sz w:val="18"/>
              <w:szCs w:val="18"/>
            </w:rPr>
            <w:fldChar w:fldCharType="begin"/>
          </w:r>
          <w:r w:rsidRPr="0096713D">
            <w:rPr>
              <w:sz w:val="18"/>
              <w:szCs w:val="18"/>
            </w:rPr>
            <w:instrText xml:space="preserve"> PAGE   \* MERGEFORMAT </w:instrText>
          </w:r>
          <w:r w:rsidRPr="0096713D">
            <w:rPr>
              <w:sz w:val="18"/>
              <w:szCs w:val="18"/>
            </w:rPr>
            <w:fldChar w:fldCharType="separate"/>
          </w:r>
          <w:r w:rsidR="00EB3D67">
            <w:rPr>
              <w:noProof/>
              <w:sz w:val="18"/>
              <w:szCs w:val="18"/>
            </w:rPr>
            <w:t>2</w:t>
          </w:r>
          <w:r w:rsidRPr="0096713D">
            <w:rPr>
              <w:noProof/>
              <w:sz w:val="18"/>
              <w:szCs w:val="18"/>
            </w:rPr>
            <w:fldChar w:fldCharType="end"/>
          </w:r>
        </w:p>
      </w:tc>
      <w:tc>
        <w:tcPr>
          <w:tcW w:w="7272" w:type="dxa"/>
          <w:tcMar>
            <w:left w:w="115" w:type="dxa"/>
            <w:right w:w="115" w:type="dxa"/>
          </w:tcMar>
          <w:vAlign w:val="center"/>
        </w:tcPr>
        <w:p w14:paraId="063DEB96" w14:textId="77777777" w:rsidR="0096713D" w:rsidRPr="00277447" w:rsidRDefault="0096713D" w:rsidP="002C4B6F">
          <w:pPr>
            <w:pStyle w:val="Header"/>
            <w:jc w:val="center"/>
            <w:rPr>
              <w:sz w:val="18"/>
              <w:szCs w:val="18"/>
            </w:rPr>
          </w:pPr>
        </w:p>
      </w:tc>
      <w:tc>
        <w:tcPr>
          <w:tcW w:w="576" w:type="dxa"/>
          <w:tcMar>
            <w:left w:w="115" w:type="dxa"/>
            <w:right w:w="29" w:type="dxa"/>
          </w:tcMar>
          <w:vAlign w:val="center"/>
        </w:tcPr>
        <w:p w14:paraId="10837EA9" w14:textId="77777777" w:rsidR="0096713D" w:rsidRPr="00277447" w:rsidRDefault="0096713D" w:rsidP="002C4B6F">
          <w:pPr>
            <w:pStyle w:val="Header"/>
            <w:jc w:val="right"/>
            <w:rPr>
              <w:sz w:val="18"/>
              <w:szCs w:val="18"/>
            </w:rPr>
          </w:pPr>
        </w:p>
      </w:tc>
    </w:tr>
  </w:tbl>
  <w:p w14:paraId="2AB0527A" w14:textId="77777777" w:rsidR="0096713D" w:rsidRPr="00277447" w:rsidRDefault="0096713D" w:rsidP="0096713D">
    <w:pPr>
      <w:pStyle w:val="Head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008C2150" w14:textId="77777777" w:rsidTr="00EB3D67">
      <w:trPr>
        <w:jc w:val="center"/>
      </w:trPr>
      <w:tc>
        <w:tcPr>
          <w:tcW w:w="576" w:type="dxa"/>
          <w:vAlign w:val="center"/>
        </w:tcPr>
        <w:p w14:paraId="72717DB0" w14:textId="77777777" w:rsidR="00945DA4" w:rsidRPr="00277447" w:rsidRDefault="00945DA4" w:rsidP="002C4B6F">
          <w:pPr>
            <w:pStyle w:val="Header"/>
            <w:rPr>
              <w:sz w:val="18"/>
              <w:szCs w:val="18"/>
            </w:rPr>
          </w:pPr>
        </w:p>
      </w:tc>
      <w:tc>
        <w:tcPr>
          <w:tcW w:w="7272" w:type="dxa"/>
          <w:tcMar>
            <w:left w:w="115" w:type="dxa"/>
            <w:right w:w="115" w:type="dxa"/>
          </w:tcMar>
          <w:vAlign w:val="center"/>
        </w:tcPr>
        <w:p w14:paraId="06EFAB79" w14:textId="77777777" w:rsidR="00945DA4" w:rsidRPr="00277447" w:rsidRDefault="00945DA4" w:rsidP="00945DA4">
          <w:pPr>
            <w:pStyle w:val="Header"/>
            <w:jc w:val="center"/>
            <w:rPr>
              <w:sz w:val="18"/>
              <w:szCs w:val="18"/>
            </w:rPr>
          </w:pPr>
        </w:p>
      </w:tc>
      <w:tc>
        <w:tcPr>
          <w:tcW w:w="864" w:type="dxa"/>
          <w:tcMar>
            <w:left w:w="115" w:type="dxa"/>
            <w:right w:w="29" w:type="dxa"/>
          </w:tcMar>
          <w:vAlign w:val="center"/>
        </w:tcPr>
        <w:p w14:paraId="3391EF0A" w14:textId="77777777" w:rsidR="00945DA4" w:rsidRPr="00277447" w:rsidRDefault="00945DA4"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EB3D67">
            <w:rPr>
              <w:noProof/>
              <w:sz w:val="18"/>
              <w:szCs w:val="18"/>
            </w:rPr>
            <w:t>3</w:t>
          </w:r>
          <w:r w:rsidRPr="00945DA4">
            <w:rPr>
              <w:noProof/>
              <w:sz w:val="18"/>
              <w:szCs w:val="18"/>
            </w:rPr>
            <w:fldChar w:fldCharType="end"/>
          </w:r>
        </w:p>
      </w:tc>
    </w:tr>
  </w:tbl>
  <w:p w14:paraId="1AE6A2E7" w14:textId="77777777" w:rsidR="00945DA4" w:rsidRPr="00277447" w:rsidRDefault="00945DA4" w:rsidP="00945DA4">
    <w:pPr>
      <w:pStyle w:val="Head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6514"/>
      <w:gridCol w:w="796"/>
    </w:tblGrid>
    <w:tr w:rsidR="0096713D" w:rsidRPr="00277447" w14:paraId="2B988175" w14:textId="77777777" w:rsidTr="00EB3D67">
      <w:trPr>
        <w:jc w:val="center"/>
      </w:trPr>
      <w:tc>
        <w:tcPr>
          <w:tcW w:w="576" w:type="dxa"/>
          <w:vAlign w:val="center"/>
        </w:tcPr>
        <w:p w14:paraId="22630AAF" w14:textId="77777777" w:rsidR="0096713D" w:rsidRPr="00277447" w:rsidRDefault="0096713D" w:rsidP="002C4B6F">
          <w:pPr>
            <w:pStyle w:val="Header"/>
            <w:rPr>
              <w:sz w:val="18"/>
              <w:szCs w:val="18"/>
            </w:rPr>
          </w:pPr>
        </w:p>
      </w:tc>
      <w:tc>
        <w:tcPr>
          <w:tcW w:w="7272" w:type="dxa"/>
          <w:tcMar>
            <w:left w:w="115" w:type="dxa"/>
            <w:right w:w="115" w:type="dxa"/>
          </w:tcMar>
          <w:vAlign w:val="center"/>
        </w:tcPr>
        <w:p w14:paraId="4C9DACF2" w14:textId="77777777" w:rsidR="0096713D" w:rsidRPr="00277447" w:rsidRDefault="0096713D" w:rsidP="002C4B6F">
          <w:pPr>
            <w:pStyle w:val="Header"/>
            <w:jc w:val="center"/>
            <w:rPr>
              <w:sz w:val="18"/>
              <w:szCs w:val="18"/>
            </w:rPr>
          </w:pPr>
        </w:p>
      </w:tc>
      <w:tc>
        <w:tcPr>
          <w:tcW w:w="864" w:type="dxa"/>
          <w:tcMar>
            <w:left w:w="115" w:type="dxa"/>
            <w:right w:w="29" w:type="dxa"/>
          </w:tcMar>
          <w:vAlign w:val="center"/>
        </w:tcPr>
        <w:p w14:paraId="5800A3CB" w14:textId="77777777" w:rsidR="0096713D" w:rsidRPr="00277447" w:rsidRDefault="0096713D" w:rsidP="002C4B6F">
          <w:pPr>
            <w:pStyle w:val="Header"/>
            <w:jc w:val="right"/>
            <w:rPr>
              <w:sz w:val="18"/>
              <w:szCs w:val="18"/>
            </w:rPr>
          </w:pPr>
          <w:r w:rsidRPr="00945DA4">
            <w:rPr>
              <w:sz w:val="18"/>
              <w:szCs w:val="18"/>
            </w:rPr>
            <w:fldChar w:fldCharType="begin"/>
          </w:r>
          <w:r w:rsidRPr="00945DA4">
            <w:rPr>
              <w:sz w:val="18"/>
              <w:szCs w:val="18"/>
            </w:rPr>
            <w:instrText xml:space="preserve"> PAGE   \* MERGEFORMAT </w:instrText>
          </w:r>
          <w:r w:rsidRPr="00945DA4">
            <w:rPr>
              <w:sz w:val="18"/>
              <w:szCs w:val="18"/>
            </w:rPr>
            <w:fldChar w:fldCharType="separate"/>
          </w:r>
          <w:r w:rsidR="00EC179F">
            <w:rPr>
              <w:noProof/>
              <w:sz w:val="18"/>
              <w:szCs w:val="18"/>
            </w:rPr>
            <w:t>1</w:t>
          </w:r>
          <w:r w:rsidRPr="00945DA4">
            <w:rPr>
              <w:noProof/>
              <w:sz w:val="18"/>
              <w:szCs w:val="18"/>
            </w:rPr>
            <w:fldChar w:fldCharType="end"/>
          </w:r>
        </w:p>
      </w:tc>
    </w:tr>
  </w:tbl>
  <w:p w14:paraId="14AB2FC3" w14:textId="77777777" w:rsidR="0096713D" w:rsidRPr="00277447" w:rsidRDefault="0096713D" w:rsidP="0096713D">
    <w:pPr>
      <w:pStyle w:val="Head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A4ED" w14:textId="77777777" w:rsidR="008E2990" w:rsidRDefault="008E2990" w:rsidP="00113BED">
      <w:r>
        <w:separator/>
      </w:r>
    </w:p>
  </w:footnote>
  <w:footnote w:type="continuationSeparator" w:id="0">
    <w:p w14:paraId="4EA02B71" w14:textId="77777777" w:rsidR="008E2990" w:rsidRDefault="008E2990" w:rsidP="0011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3"/>
    </w:tblGrid>
    <w:tr w:rsidR="00956A3F" w:rsidRPr="00277447" w14:paraId="594CCA2A" w14:textId="77777777" w:rsidTr="00956A3F">
      <w:trPr>
        <w:jc w:val="center"/>
      </w:trPr>
      <w:tc>
        <w:tcPr>
          <w:tcW w:w="7704" w:type="dxa"/>
          <w:tcMar>
            <w:left w:w="72" w:type="dxa"/>
            <w:right w:w="115" w:type="dxa"/>
          </w:tcMar>
          <w:vAlign w:val="center"/>
        </w:tcPr>
        <w:p w14:paraId="39F40EC3" w14:textId="77777777" w:rsidR="00956A3F" w:rsidRPr="00277447" w:rsidRDefault="00956A3F" w:rsidP="002C4B6F">
          <w:pPr>
            <w:pStyle w:val="Header"/>
            <w:rPr>
              <w:sz w:val="18"/>
              <w:szCs w:val="18"/>
            </w:rPr>
          </w:pPr>
        </w:p>
      </w:tc>
      <w:tc>
        <w:tcPr>
          <w:tcW w:w="144" w:type="dxa"/>
          <w:tcMar>
            <w:left w:w="115" w:type="dxa"/>
            <w:right w:w="72" w:type="dxa"/>
          </w:tcMar>
          <w:vAlign w:val="center"/>
        </w:tcPr>
        <w:p w14:paraId="62E72A40" w14:textId="77777777" w:rsidR="00956A3F" w:rsidRPr="00277447" w:rsidRDefault="00956A3F" w:rsidP="002C4B6F">
          <w:pPr>
            <w:pStyle w:val="Header"/>
            <w:jc w:val="right"/>
            <w:rPr>
              <w:sz w:val="18"/>
              <w:szCs w:val="18"/>
            </w:rPr>
          </w:pPr>
        </w:p>
      </w:tc>
    </w:tr>
  </w:tbl>
  <w:p w14:paraId="71F4A331" w14:textId="77777777" w:rsidR="00956A3F" w:rsidRPr="00277447" w:rsidRDefault="00956A3F" w:rsidP="00956A3F">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956A3F" w:rsidRPr="00277447" w14:paraId="76D38E5E" w14:textId="77777777" w:rsidTr="002C4B6F">
      <w:trPr>
        <w:jc w:val="center"/>
      </w:trPr>
      <w:tc>
        <w:tcPr>
          <w:tcW w:w="144" w:type="dxa"/>
          <w:vAlign w:val="center"/>
        </w:tcPr>
        <w:p w14:paraId="285C3194" w14:textId="77777777" w:rsidR="00956A3F" w:rsidRPr="00277447" w:rsidRDefault="00956A3F" w:rsidP="002C4B6F">
          <w:pPr>
            <w:pStyle w:val="Header"/>
            <w:rPr>
              <w:sz w:val="18"/>
              <w:szCs w:val="18"/>
            </w:rPr>
          </w:pPr>
        </w:p>
      </w:tc>
      <w:tc>
        <w:tcPr>
          <w:tcW w:w="7704" w:type="dxa"/>
          <w:tcMar>
            <w:left w:w="115" w:type="dxa"/>
            <w:right w:w="72" w:type="dxa"/>
          </w:tcMar>
          <w:vAlign w:val="center"/>
        </w:tcPr>
        <w:p w14:paraId="73E6C2FE" w14:textId="77777777" w:rsidR="00956A3F" w:rsidRPr="00277447" w:rsidRDefault="00956A3F" w:rsidP="002C4B6F">
          <w:pPr>
            <w:pStyle w:val="Header"/>
            <w:jc w:val="right"/>
            <w:rPr>
              <w:sz w:val="18"/>
              <w:szCs w:val="18"/>
            </w:rPr>
          </w:pPr>
        </w:p>
      </w:tc>
    </w:tr>
  </w:tbl>
  <w:p w14:paraId="2D09B558" w14:textId="77777777" w:rsidR="00956A3F" w:rsidRPr="00277447" w:rsidRDefault="00956A3F" w:rsidP="00956A3F">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626"/>
    </w:tblGrid>
    <w:tr w:rsidR="00277447" w:rsidRPr="00277447" w14:paraId="3EBB8A25" w14:textId="77777777" w:rsidTr="00956A3F">
      <w:trPr>
        <w:jc w:val="center"/>
      </w:trPr>
      <w:tc>
        <w:tcPr>
          <w:tcW w:w="144" w:type="dxa"/>
          <w:vAlign w:val="center"/>
        </w:tcPr>
        <w:p w14:paraId="43F8FF41" w14:textId="77777777" w:rsidR="00277447" w:rsidRPr="00277447" w:rsidRDefault="00277447" w:rsidP="008B537F">
          <w:pPr>
            <w:pStyle w:val="Header"/>
            <w:rPr>
              <w:sz w:val="18"/>
              <w:szCs w:val="18"/>
            </w:rPr>
          </w:pPr>
        </w:p>
      </w:tc>
      <w:tc>
        <w:tcPr>
          <w:tcW w:w="7704" w:type="dxa"/>
          <w:tcMar>
            <w:left w:w="115" w:type="dxa"/>
            <w:right w:w="72" w:type="dxa"/>
          </w:tcMar>
          <w:vAlign w:val="center"/>
        </w:tcPr>
        <w:p w14:paraId="42652EA7" w14:textId="77777777" w:rsidR="00277447" w:rsidRPr="00277447" w:rsidRDefault="00277447" w:rsidP="00956A3F">
          <w:pPr>
            <w:pStyle w:val="Header"/>
            <w:jc w:val="right"/>
            <w:rPr>
              <w:sz w:val="18"/>
              <w:szCs w:val="18"/>
            </w:rPr>
          </w:pPr>
        </w:p>
      </w:tc>
    </w:tr>
  </w:tbl>
  <w:p w14:paraId="3BAF803D" w14:textId="77777777" w:rsidR="00277447" w:rsidRPr="00277447" w:rsidRDefault="00277447" w:rsidP="00277447">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70"/>
    <w:rsid w:val="0001345D"/>
    <w:rsid w:val="00025268"/>
    <w:rsid w:val="00025A82"/>
    <w:rsid w:val="00053E40"/>
    <w:rsid w:val="00062A49"/>
    <w:rsid w:val="000A2727"/>
    <w:rsid w:val="000A388C"/>
    <w:rsid w:val="000A7096"/>
    <w:rsid w:val="000B6A41"/>
    <w:rsid w:val="000D604C"/>
    <w:rsid w:val="000F4604"/>
    <w:rsid w:val="00113BED"/>
    <w:rsid w:val="00115E10"/>
    <w:rsid w:val="00153AFC"/>
    <w:rsid w:val="001913EC"/>
    <w:rsid w:val="001F13A4"/>
    <w:rsid w:val="00277447"/>
    <w:rsid w:val="00282957"/>
    <w:rsid w:val="002E59DF"/>
    <w:rsid w:val="002F21B2"/>
    <w:rsid w:val="003155C4"/>
    <w:rsid w:val="00315E1D"/>
    <w:rsid w:val="0035339B"/>
    <w:rsid w:val="003A6FE2"/>
    <w:rsid w:val="003B3640"/>
    <w:rsid w:val="003C731D"/>
    <w:rsid w:val="003E0385"/>
    <w:rsid w:val="004154B1"/>
    <w:rsid w:val="00455BA7"/>
    <w:rsid w:val="00485DB3"/>
    <w:rsid w:val="00486DF2"/>
    <w:rsid w:val="004B0F9C"/>
    <w:rsid w:val="004B5BD6"/>
    <w:rsid w:val="004C7E7F"/>
    <w:rsid w:val="005069B3"/>
    <w:rsid w:val="0055182E"/>
    <w:rsid w:val="00586012"/>
    <w:rsid w:val="005909E5"/>
    <w:rsid w:val="005B5495"/>
    <w:rsid w:val="00602C67"/>
    <w:rsid w:val="00622F5C"/>
    <w:rsid w:val="0062437D"/>
    <w:rsid w:val="00631F2B"/>
    <w:rsid w:val="00652054"/>
    <w:rsid w:val="00671BA5"/>
    <w:rsid w:val="00695A70"/>
    <w:rsid w:val="006E77AE"/>
    <w:rsid w:val="00725FD6"/>
    <w:rsid w:val="00745D10"/>
    <w:rsid w:val="007E17B4"/>
    <w:rsid w:val="008356F0"/>
    <w:rsid w:val="00843B4E"/>
    <w:rsid w:val="0089492F"/>
    <w:rsid w:val="008A1FC8"/>
    <w:rsid w:val="008D758F"/>
    <w:rsid w:val="008E2990"/>
    <w:rsid w:val="008F5EBD"/>
    <w:rsid w:val="0090300F"/>
    <w:rsid w:val="00923038"/>
    <w:rsid w:val="00924BBA"/>
    <w:rsid w:val="00940716"/>
    <w:rsid w:val="00945DA4"/>
    <w:rsid w:val="00956A3F"/>
    <w:rsid w:val="009605F0"/>
    <w:rsid w:val="00961EDD"/>
    <w:rsid w:val="0096713D"/>
    <w:rsid w:val="009E7DC9"/>
    <w:rsid w:val="00A2249E"/>
    <w:rsid w:val="00A273AB"/>
    <w:rsid w:val="00A4047A"/>
    <w:rsid w:val="00A5640A"/>
    <w:rsid w:val="00A8377B"/>
    <w:rsid w:val="00AD1D98"/>
    <w:rsid w:val="00B32CB8"/>
    <w:rsid w:val="00B420B5"/>
    <w:rsid w:val="00B43E3D"/>
    <w:rsid w:val="00BC2A1E"/>
    <w:rsid w:val="00C368C9"/>
    <w:rsid w:val="00C77559"/>
    <w:rsid w:val="00C917B7"/>
    <w:rsid w:val="00C921C7"/>
    <w:rsid w:val="00C92D88"/>
    <w:rsid w:val="00CA7552"/>
    <w:rsid w:val="00CB445D"/>
    <w:rsid w:val="00CE51FC"/>
    <w:rsid w:val="00CE6969"/>
    <w:rsid w:val="00D0344D"/>
    <w:rsid w:val="00D14AAE"/>
    <w:rsid w:val="00D17F61"/>
    <w:rsid w:val="00D214DC"/>
    <w:rsid w:val="00DB50CC"/>
    <w:rsid w:val="00DE0E67"/>
    <w:rsid w:val="00E25018"/>
    <w:rsid w:val="00E26E75"/>
    <w:rsid w:val="00E73FE1"/>
    <w:rsid w:val="00E84AA6"/>
    <w:rsid w:val="00EB2087"/>
    <w:rsid w:val="00EB3D67"/>
    <w:rsid w:val="00EC179F"/>
    <w:rsid w:val="00EC2BEF"/>
    <w:rsid w:val="00ED616F"/>
    <w:rsid w:val="00EE063C"/>
    <w:rsid w:val="00F07B20"/>
    <w:rsid w:val="00F160A8"/>
    <w:rsid w:val="00F226CB"/>
    <w:rsid w:val="00F42BB5"/>
    <w:rsid w:val="00F75B39"/>
    <w:rsid w:val="00F86DFA"/>
    <w:rsid w:val="00FB117C"/>
    <w:rsid w:val="00FE26D3"/>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AF070CA"/>
  <w15:docId w15:val="{70741656-2BB3-41F9-99CE-584CD069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7C"/>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B32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62A49"/>
    <w:pPr>
      <w:spacing w:before="100" w:beforeAutospacing="1" w:after="100" w:afterAutospacing="1"/>
    </w:pPr>
    <w:rPr>
      <w:rFonts w:ascii="Courier New" w:hAnsi="Courier New" w:cs="Courier New"/>
    </w:rPr>
  </w:style>
  <w:style w:type="character" w:customStyle="1" w:styleId="norm1">
    <w:name w:val="norm1"/>
    <w:basedOn w:val="DefaultParagraphFont"/>
    <w:rsid w:val="00062A49"/>
    <w:rPr>
      <w:rFonts w:ascii="Courier New" w:hAnsi="Courier New" w:cs="Courier New" w:hint="default"/>
      <w:sz w:val="24"/>
      <w:szCs w:val="24"/>
    </w:rPr>
  </w:style>
  <w:style w:type="table" w:styleId="TableGrid">
    <w:name w:val="Table Grid"/>
    <w:basedOn w:val="TableNormal"/>
    <w:uiPriority w:val="59"/>
    <w:rsid w:val="00BC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2CB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13BED"/>
    <w:pPr>
      <w:tabs>
        <w:tab w:val="center" w:pos="4680"/>
        <w:tab w:val="right" w:pos="9360"/>
      </w:tabs>
    </w:pPr>
  </w:style>
  <w:style w:type="character" w:customStyle="1" w:styleId="HeaderChar">
    <w:name w:val="Header Char"/>
    <w:basedOn w:val="DefaultParagraphFont"/>
    <w:link w:val="Header"/>
    <w:uiPriority w:val="99"/>
    <w:rsid w:val="00113BE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13BED"/>
    <w:pPr>
      <w:tabs>
        <w:tab w:val="center" w:pos="4680"/>
        <w:tab w:val="right" w:pos="9360"/>
      </w:tabs>
    </w:pPr>
  </w:style>
  <w:style w:type="character" w:customStyle="1" w:styleId="FooterChar">
    <w:name w:val="Footer Char"/>
    <w:basedOn w:val="DefaultParagraphFont"/>
    <w:link w:val="Footer"/>
    <w:uiPriority w:val="99"/>
    <w:rsid w:val="00113BED"/>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F39F3"/>
    <w:rPr>
      <w:rFonts w:ascii="Tahoma" w:hAnsi="Tahoma" w:cs="Tahoma"/>
      <w:sz w:val="16"/>
      <w:szCs w:val="16"/>
    </w:rPr>
  </w:style>
  <w:style w:type="character" w:customStyle="1" w:styleId="BalloonTextChar">
    <w:name w:val="Balloon Text Char"/>
    <w:basedOn w:val="DefaultParagraphFont"/>
    <w:link w:val="BalloonText"/>
    <w:uiPriority w:val="99"/>
    <w:semiHidden/>
    <w:rsid w:val="00FF39F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0468">
      <w:bodyDiv w:val="1"/>
      <w:marLeft w:val="0"/>
      <w:marRight w:val="0"/>
      <w:marTop w:val="0"/>
      <w:marBottom w:val="0"/>
      <w:divBdr>
        <w:top w:val="none" w:sz="0" w:space="0" w:color="auto"/>
        <w:left w:val="none" w:sz="0" w:space="0" w:color="auto"/>
        <w:bottom w:val="none" w:sz="0" w:space="0" w:color="auto"/>
        <w:right w:val="none" w:sz="0" w:space="0" w:color="auto"/>
      </w:divBdr>
    </w:div>
    <w:div w:id="9209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49C2-1822-4A8D-B7E1-D55550C3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section template</dc:subject>
  <dc:creator>Dewayne Basnett</dc:creator>
  <dc:description>-1884068914</dc:description>
  <cp:lastModifiedBy>Maggie Johnston</cp:lastModifiedBy>
  <cp:revision>2</cp:revision>
  <cp:lastPrinted>2016-04-29T14:02:00Z</cp:lastPrinted>
  <dcterms:created xsi:type="dcterms:W3CDTF">2023-07-30T21:50:00Z</dcterms:created>
  <dcterms:modified xsi:type="dcterms:W3CDTF">2023-07-30T21:50:00Z</dcterms:modified>
</cp:coreProperties>
</file>