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4D43" w14:textId="77DECC31" w:rsidR="00FF2B94" w:rsidRPr="00DD38C2" w:rsidRDefault="00FF2B94" w:rsidP="00FF2B94">
      <w:pPr>
        <w:jc w:val="center"/>
        <w:rPr>
          <w:b/>
          <w:sz w:val="36"/>
          <w:szCs w:val="36"/>
        </w:rPr>
      </w:pPr>
      <w:r>
        <w:rPr>
          <w:b/>
          <w:sz w:val="36"/>
          <w:szCs w:val="36"/>
        </w:rPr>
        <w:t>Invitation</w:t>
      </w:r>
      <w:r w:rsidRPr="002C20B5">
        <w:rPr>
          <w:b/>
          <w:sz w:val="36"/>
          <w:szCs w:val="36"/>
        </w:rPr>
        <w:t xml:space="preserve"> </w:t>
      </w:r>
      <w:proofErr w:type="gramStart"/>
      <w:r w:rsidRPr="002C20B5">
        <w:rPr>
          <w:b/>
          <w:sz w:val="36"/>
          <w:szCs w:val="36"/>
        </w:rPr>
        <w:t>for</w:t>
      </w:r>
      <w:proofErr w:type="gramEnd"/>
      <w:r>
        <w:rPr>
          <w:b/>
          <w:sz w:val="36"/>
          <w:szCs w:val="36"/>
        </w:rPr>
        <w:t xml:space="preserve"> Oregon County Contract </w:t>
      </w:r>
      <w:r w:rsidRPr="002C20B5">
        <w:rPr>
          <w:b/>
          <w:sz w:val="36"/>
          <w:szCs w:val="36"/>
        </w:rPr>
        <w:t>Bid</w:t>
      </w:r>
      <w:r>
        <w:rPr>
          <w:b/>
          <w:sz w:val="36"/>
          <w:szCs w:val="36"/>
        </w:rPr>
        <w:t xml:space="preserve">s </w:t>
      </w:r>
    </w:p>
    <w:p w14:paraId="6E29E2A5" w14:textId="479BE4D2" w:rsidR="00FF2B94" w:rsidRDefault="00FF2B94" w:rsidP="00FF2B94">
      <w:pPr>
        <w:rPr>
          <w:sz w:val="28"/>
          <w:szCs w:val="28"/>
        </w:rPr>
      </w:pPr>
      <w:r w:rsidRPr="008A1089">
        <w:rPr>
          <w:sz w:val="28"/>
          <w:szCs w:val="28"/>
        </w:rPr>
        <w:t>The Missouri State Public Defender</w:t>
      </w:r>
      <w:r>
        <w:rPr>
          <w:sz w:val="28"/>
          <w:szCs w:val="28"/>
        </w:rPr>
        <w:t xml:space="preserve"> (MSPD)</w:t>
      </w:r>
      <w:r w:rsidRPr="008A1089">
        <w:rPr>
          <w:sz w:val="28"/>
          <w:szCs w:val="28"/>
        </w:rPr>
        <w:t xml:space="preserve"> is seeking bids </w:t>
      </w:r>
      <w:r>
        <w:rPr>
          <w:sz w:val="28"/>
          <w:szCs w:val="28"/>
        </w:rPr>
        <w:t xml:space="preserve">from attorneys interested in providing criminal defense representation to qualifying clients as a Special Public Defender in Oregon County. The contract duration is one year with an option for renewal. Attorneys must be licensed to practice in Missouri, be in good standing with the Missouri Bar, and have criminal law experience.  Details are available at the following link:  </w:t>
      </w:r>
    </w:p>
    <w:p w14:paraId="57E8D5F1" w14:textId="77777777" w:rsidR="00FF2B94" w:rsidRDefault="00FF2B94" w:rsidP="00FF2B94">
      <w:pPr>
        <w:rPr>
          <w:sz w:val="28"/>
          <w:szCs w:val="28"/>
        </w:rPr>
      </w:pPr>
      <w:hyperlink r:id="rId4" w:history="1">
        <w:r w:rsidRPr="00F854C4">
          <w:rPr>
            <w:rStyle w:val="Hyperlink"/>
            <w:sz w:val="28"/>
            <w:szCs w:val="28"/>
          </w:rPr>
          <w:t>https://publicdefender.mo.gov/private-counsel-opportunities/</w:t>
        </w:r>
      </w:hyperlink>
    </w:p>
    <w:p w14:paraId="1A645E16" w14:textId="2A964570" w:rsidR="00FF2B94" w:rsidRDefault="00FF2B94" w:rsidP="00FF2B94">
      <w:pPr>
        <w:rPr>
          <w:sz w:val="28"/>
          <w:szCs w:val="28"/>
        </w:rPr>
      </w:pPr>
      <w:r>
        <w:rPr>
          <w:sz w:val="28"/>
          <w:szCs w:val="28"/>
        </w:rPr>
        <w:t xml:space="preserve">Bids must be received by </w:t>
      </w:r>
      <w:r w:rsidR="00423A53">
        <w:rPr>
          <w:sz w:val="28"/>
          <w:szCs w:val="28"/>
        </w:rPr>
        <w:t>August</w:t>
      </w:r>
      <w:r>
        <w:rPr>
          <w:sz w:val="28"/>
          <w:szCs w:val="28"/>
        </w:rPr>
        <w:t xml:space="preserve"> 1</w:t>
      </w:r>
      <w:r w:rsidR="00302FFF">
        <w:rPr>
          <w:sz w:val="28"/>
          <w:szCs w:val="28"/>
        </w:rPr>
        <w:t>5</w:t>
      </w:r>
      <w:r>
        <w:rPr>
          <w:sz w:val="28"/>
          <w:szCs w:val="28"/>
        </w:rPr>
        <w:t xml:space="preserve">, 2025, 5:00 pm and contracts begin </w:t>
      </w:r>
      <w:r w:rsidR="00423A53">
        <w:rPr>
          <w:sz w:val="28"/>
          <w:szCs w:val="28"/>
        </w:rPr>
        <w:t>August</w:t>
      </w:r>
      <w:r>
        <w:rPr>
          <w:sz w:val="28"/>
          <w:szCs w:val="28"/>
        </w:rPr>
        <w:t xml:space="preserve"> 1</w:t>
      </w:r>
      <w:r w:rsidR="00302FFF">
        <w:rPr>
          <w:sz w:val="28"/>
          <w:szCs w:val="28"/>
        </w:rPr>
        <w:t>8</w:t>
      </w:r>
      <w:r>
        <w:rPr>
          <w:sz w:val="28"/>
          <w:szCs w:val="28"/>
        </w:rPr>
        <w:t>, 2025.</w:t>
      </w:r>
    </w:p>
    <w:p w14:paraId="7D723F6E" w14:textId="77777777" w:rsidR="00B874B7" w:rsidRDefault="00B874B7"/>
    <w:p w14:paraId="6A89C4BD" w14:textId="77777777" w:rsidR="00450408" w:rsidRDefault="00450408"/>
    <w:p w14:paraId="30AF1B51" w14:textId="77777777" w:rsidR="00450408" w:rsidRDefault="00450408"/>
    <w:p w14:paraId="4A8967E3" w14:textId="77777777" w:rsidR="00450408" w:rsidRDefault="00450408"/>
    <w:p w14:paraId="42B4C7D7" w14:textId="77777777" w:rsidR="00450408" w:rsidRDefault="00450408"/>
    <w:p w14:paraId="7B841AFD" w14:textId="77777777" w:rsidR="00450408" w:rsidRDefault="00450408"/>
    <w:p w14:paraId="706516AA" w14:textId="77777777" w:rsidR="00450408" w:rsidRDefault="00450408"/>
    <w:p w14:paraId="78760D6B" w14:textId="77777777" w:rsidR="00450408" w:rsidRDefault="00450408"/>
    <w:p w14:paraId="3374A210" w14:textId="77777777" w:rsidR="00450408" w:rsidRDefault="00450408"/>
    <w:p w14:paraId="13568BEC" w14:textId="77777777" w:rsidR="00450408" w:rsidRDefault="00450408"/>
    <w:p w14:paraId="6586A617" w14:textId="77777777" w:rsidR="00450408" w:rsidRDefault="00450408"/>
    <w:p w14:paraId="58261873" w14:textId="77777777" w:rsidR="00450408" w:rsidRDefault="00450408"/>
    <w:p w14:paraId="2D5D4F34" w14:textId="77777777" w:rsidR="00450408" w:rsidRDefault="00450408"/>
    <w:p w14:paraId="74D5AFC2" w14:textId="77777777" w:rsidR="00450408" w:rsidRDefault="00450408"/>
    <w:p w14:paraId="44ECEECA" w14:textId="77777777" w:rsidR="00450408" w:rsidRDefault="00450408"/>
    <w:p w14:paraId="7AE8AAF4" w14:textId="77777777" w:rsidR="00450408" w:rsidRDefault="00450408"/>
    <w:p w14:paraId="7547C86C" w14:textId="77777777" w:rsidR="00450408" w:rsidRDefault="00450408"/>
    <w:p w14:paraId="118585C0" w14:textId="77777777" w:rsidR="00450408" w:rsidRDefault="00450408"/>
    <w:p w14:paraId="302FF596" w14:textId="77777777" w:rsidR="00450408" w:rsidRDefault="00450408"/>
    <w:p w14:paraId="3D3E0B62" w14:textId="79D18EDE" w:rsidR="00450408" w:rsidRPr="00AD2552" w:rsidRDefault="00450408" w:rsidP="00450408">
      <w:pPr>
        <w:jc w:val="center"/>
        <w:rPr>
          <w:b/>
          <w:sz w:val="36"/>
          <w:szCs w:val="36"/>
        </w:rPr>
      </w:pPr>
      <w:r>
        <w:rPr>
          <w:b/>
          <w:sz w:val="36"/>
          <w:szCs w:val="36"/>
        </w:rPr>
        <w:lastRenderedPageBreak/>
        <w:t>Invitation</w:t>
      </w:r>
      <w:r w:rsidRPr="002C20B5">
        <w:rPr>
          <w:b/>
          <w:sz w:val="36"/>
          <w:szCs w:val="36"/>
        </w:rPr>
        <w:t xml:space="preserve"> </w:t>
      </w:r>
      <w:proofErr w:type="gramStart"/>
      <w:r w:rsidRPr="002C20B5">
        <w:rPr>
          <w:b/>
          <w:sz w:val="36"/>
          <w:szCs w:val="36"/>
        </w:rPr>
        <w:t>for</w:t>
      </w:r>
      <w:proofErr w:type="gramEnd"/>
      <w:r w:rsidRPr="002C20B5">
        <w:rPr>
          <w:b/>
          <w:sz w:val="36"/>
          <w:szCs w:val="36"/>
        </w:rPr>
        <w:t xml:space="preserve"> </w:t>
      </w:r>
      <w:r>
        <w:rPr>
          <w:b/>
          <w:sz w:val="36"/>
          <w:szCs w:val="36"/>
        </w:rPr>
        <w:t xml:space="preserve">Oregon County Contract </w:t>
      </w:r>
      <w:r w:rsidRPr="002C20B5">
        <w:rPr>
          <w:b/>
          <w:sz w:val="36"/>
          <w:szCs w:val="36"/>
        </w:rPr>
        <w:t>Bid</w:t>
      </w:r>
      <w:r>
        <w:rPr>
          <w:b/>
          <w:sz w:val="36"/>
          <w:szCs w:val="36"/>
        </w:rPr>
        <w:t>s</w:t>
      </w:r>
    </w:p>
    <w:p w14:paraId="10478BE4" w14:textId="15A7E153" w:rsidR="00450408" w:rsidRDefault="00450408" w:rsidP="00450408">
      <w:pPr>
        <w:rPr>
          <w:sz w:val="28"/>
          <w:szCs w:val="28"/>
        </w:rPr>
      </w:pPr>
      <w:r w:rsidRPr="008A1089">
        <w:rPr>
          <w:sz w:val="28"/>
          <w:szCs w:val="28"/>
        </w:rPr>
        <w:t>The Missouri State Public Defender</w:t>
      </w:r>
      <w:r>
        <w:rPr>
          <w:sz w:val="28"/>
          <w:szCs w:val="28"/>
        </w:rPr>
        <w:t xml:space="preserve"> (MSPD)</w:t>
      </w:r>
      <w:r w:rsidRPr="008A1089">
        <w:rPr>
          <w:sz w:val="28"/>
          <w:szCs w:val="28"/>
        </w:rPr>
        <w:t xml:space="preserve"> is seeking bids </w:t>
      </w:r>
      <w:r>
        <w:rPr>
          <w:sz w:val="28"/>
          <w:szCs w:val="28"/>
        </w:rPr>
        <w:t xml:space="preserve">from attorneys interested in providing all criminal defense representation to qualifying clients as a Special Public Defender in Oregon County. </w:t>
      </w:r>
    </w:p>
    <w:p w14:paraId="23CE62C7" w14:textId="023C9172" w:rsidR="00450408" w:rsidRDefault="00450408" w:rsidP="00450408">
      <w:pPr>
        <w:rPr>
          <w:sz w:val="28"/>
          <w:szCs w:val="28"/>
        </w:rPr>
      </w:pPr>
      <w:r>
        <w:rPr>
          <w:sz w:val="28"/>
          <w:szCs w:val="28"/>
        </w:rPr>
        <w:t xml:space="preserve">This contract requires the contracted Special Public Defender (SPD) to appear </w:t>
      </w:r>
      <w:proofErr w:type="gramStart"/>
      <w:r>
        <w:rPr>
          <w:sz w:val="28"/>
          <w:szCs w:val="28"/>
        </w:rPr>
        <w:t>at</w:t>
      </w:r>
      <w:proofErr w:type="gramEnd"/>
      <w:r>
        <w:rPr>
          <w:sz w:val="28"/>
          <w:szCs w:val="28"/>
        </w:rPr>
        <w:t xml:space="preserve"> all criminal dockets and to represent assigned MSPD-eligible criminal </w:t>
      </w:r>
      <w:r w:rsidRPr="0076175D">
        <w:rPr>
          <w:sz w:val="28"/>
          <w:szCs w:val="28"/>
        </w:rPr>
        <w:t>defendants</w:t>
      </w:r>
      <w:r>
        <w:rPr>
          <w:sz w:val="28"/>
          <w:szCs w:val="28"/>
        </w:rPr>
        <w:t xml:space="preserve"> from case opening through final disposition</w:t>
      </w:r>
      <w:r w:rsidRPr="0076175D">
        <w:rPr>
          <w:sz w:val="28"/>
          <w:szCs w:val="28"/>
        </w:rPr>
        <w:t xml:space="preserve">. </w:t>
      </w:r>
    </w:p>
    <w:p w14:paraId="3FB02191" w14:textId="77777777" w:rsidR="00450408" w:rsidRDefault="00450408" w:rsidP="00450408">
      <w:pPr>
        <w:rPr>
          <w:sz w:val="28"/>
          <w:szCs w:val="28"/>
        </w:rPr>
      </w:pPr>
      <w:r w:rsidRPr="001C4F97">
        <w:rPr>
          <w:sz w:val="28"/>
          <w:szCs w:val="28"/>
        </w:rPr>
        <w:t xml:space="preserve">Qualifications may include but are not limited to: 1) demonstrated successful experience and proficiency in all aspects of criminal law, including complex, serious, high-level felony cases; 2) familiarity with MSPD’s policies and procedures regarding criminal law representation and case contracting; 3) attorney’s past record of criminal law work at, with, or for MSPD, if any; and 4) attorney’s proximity to </w:t>
      </w:r>
      <w:r>
        <w:rPr>
          <w:sz w:val="28"/>
          <w:szCs w:val="28"/>
        </w:rPr>
        <w:t>the county</w:t>
      </w:r>
      <w:r w:rsidRPr="001C4F97">
        <w:rPr>
          <w:sz w:val="28"/>
          <w:szCs w:val="28"/>
        </w:rPr>
        <w:t xml:space="preserve">.  </w:t>
      </w:r>
    </w:p>
    <w:p w14:paraId="63049722" w14:textId="12CE34B4" w:rsidR="00450408" w:rsidRPr="00E67FF2" w:rsidRDefault="00450408" w:rsidP="00450408">
      <w:pPr>
        <w:rPr>
          <w:b/>
          <w:sz w:val="28"/>
          <w:szCs w:val="28"/>
        </w:rPr>
      </w:pPr>
      <w:r>
        <w:rPr>
          <w:sz w:val="28"/>
          <w:szCs w:val="28"/>
        </w:rPr>
        <w:t>The contract period will be from August 18, 2025, through August 18, 2026. Contract fees are paid monthly.</w:t>
      </w:r>
      <w:r w:rsidRPr="00644022">
        <w:rPr>
          <w:sz w:val="28"/>
          <w:szCs w:val="28"/>
        </w:rPr>
        <w:t xml:space="preserve"> </w:t>
      </w:r>
      <w:r>
        <w:rPr>
          <w:sz w:val="28"/>
          <w:szCs w:val="28"/>
        </w:rPr>
        <w:t>Contracted counsel may submit contract-related mileage for reimbursement at the state mileage rate (currently $0.70/mile).  MSPD will provide reasonably necessary litigation expenses, such as funding for depositions, process service, and approved experts.  Counsel will</w:t>
      </w:r>
      <w:r w:rsidRPr="0076175D">
        <w:rPr>
          <w:sz w:val="28"/>
          <w:szCs w:val="28"/>
        </w:rPr>
        <w:t xml:space="preserve"> have the opportunity to attend MSPD CLE training events</w:t>
      </w:r>
      <w:r>
        <w:rPr>
          <w:sz w:val="28"/>
          <w:szCs w:val="28"/>
        </w:rPr>
        <w:t xml:space="preserve"> held during the contract period</w:t>
      </w:r>
      <w:r w:rsidRPr="0076175D">
        <w:rPr>
          <w:sz w:val="28"/>
          <w:szCs w:val="28"/>
        </w:rPr>
        <w:t xml:space="preserve">.  </w:t>
      </w:r>
      <w:r>
        <w:rPr>
          <w:sz w:val="28"/>
          <w:szCs w:val="28"/>
        </w:rPr>
        <w:t>Additional trial fees are paid for cases tried by bench or jury trial.</w:t>
      </w:r>
    </w:p>
    <w:p w14:paraId="4226DCED" w14:textId="77777777" w:rsidR="00450408" w:rsidRDefault="00450408" w:rsidP="00450408">
      <w:pPr>
        <w:rPr>
          <w:sz w:val="28"/>
          <w:szCs w:val="28"/>
        </w:rPr>
      </w:pPr>
      <w:r>
        <w:rPr>
          <w:sz w:val="28"/>
          <w:szCs w:val="28"/>
        </w:rPr>
        <w:t xml:space="preserve">The contract will cover all non-homicide and non-sex-offense adult cases; failure to register as a sex offender is not considered a sex offense.  Except for an SIS disposition, cases are not finally disposed of until the defendant is acquitted or sentenced, or the charge is dismissed and not refiled by the state.  The contract requires communication with the associated MSPD trial division office and the Case Contracting Division.  Client eligibility for MSPD services is determined by MSPD.  </w:t>
      </w:r>
    </w:p>
    <w:p w14:paraId="67F64750" w14:textId="77777777" w:rsidR="00450408" w:rsidRDefault="00450408" w:rsidP="00450408">
      <w:pPr>
        <w:rPr>
          <w:sz w:val="28"/>
          <w:szCs w:val="28"/>
        </w:rPr>
      </w:pPr>
      <w:r>
        <w:rPr>
          <w:sz w:val="28"/>
          <w:szCs w:val="28"/>
        </w:rPr>
        <w:t xml:space="preserve">Available at this link are MSPD’s regular Panel Attorney contract counsel rates and trial fees that are paid to regular MSPD Panel Attorneys on a case-by-case basis, which may provide a reference for bidding: </w:t>
      </w:r>
      <w:hyperlink r:id="rId5" w:history="1">
        <w:r w:rsidRPr="00167FEE">
          <w:rPr>
            <w:rStyle w:val="Hyperlink"/>
            <w:sz w:val="28"/>
            <w:szCs w:val="28"/>
          </w:rPr>
          <w:t>https://publicdefender.mo.gov/private-counsel-opportunities/mspd-contracting/</w:t>
        </w:r>
      </w:hyperlink>
      <w:r>
        <w:rPr>
          <w:sz w:val="28"/>
          <w:szCs w:val="28"/>
        </w:rPr>
        <w:t xml:space="preserve">  </w:t>
      </w:r>
    </w:p>
    <w:p w14:paraId="6E1AB262" w14:textId="7401DEFE" w:rsidR="00450408" w:rsidRDefault="00450408" w:rsidP="00450408">
      <w:pPr>
        <w:rPr>
          <w:sz w:val="28"/>
          <w:szCs w:val="28"/>
        </w:rPr>
      </w:pPr>
      <w:r>
        <w:rPr>
          <w:sz w:val="28"/>
          <w:szCs w:val="28"/>
        </w:rPr>
        <w:t>A current Panel Attorney awarded this contract may continue to receive contract assignments from MSPD in other counties while fulfilling this contract. Estimated average caseload for Oregon County based on statistics from last fiscal year (July 1, 2024 – June 30, 2025) is as follows*:</w:t>
      </w:r>
    </w:p>
    <w:tbl>
      <w:tblPr>
        <w:tblW w:w="8849" w:type="dxa"/>
        <w:tblLook w:val="04A0" w:firstRow="1" w:lastRow="0" w:firstColumn="1" w:lastColumn="0" w:noHBand="0" w:noVBand="1"/>
      </w:tblPr>
      <w:tblGrid>
        <w:gridCol w:w="1009"/>
        <w:gridCol w:w="960"/>
        <w:gridCol w:w="1120"/>
        <w:gridCol w:w="960"/>
        <w:gridCol w:w="960"/>
        <w:gridCol w:w="960"/>
        <w:gridCol w:w="960"/>
        <w:gridCol w:w="960"/>
        <w:gridCol w:w="960"/>
      </w:tblGrid>
      <w:tr w:rsidR="00B655E3" w:rsidRPr="00E64B56" w14:paraId="70404087" w14:textId="77777777" w:rsidTr="00DB4239">
        <w:trPr>
          <w:trHeight w:val="288"/>
        </w:trPr>
        <w:tc>
          <w:tcPr>
            <w:tcW w:w="1009"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113A5024" w14:textId="77777777" w:rsidR="00450408" w:rsidRPr="00E64B56" w:rsidRDefault="00450408" w:rsidP="00DB4239">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County</w:t>
            </w:r>
          </w:p>
        </w:tc>
        <w:tc>
          <w:tcPr>
            <w:tcW w:w="960" w:type="dxa"/>
            <w:tcBorders>
              <w:top w:val="single" w:sz="4" w:space="0" w:color="auto"/>
              <w:left w:val="nil"/>
              <w:bottom w:val="single" w:sz="4" w:space="0" w:color="auto"/>
              <w:right w:val="single" w:sz="4" w:space="0" w:color="auto"/>
            </w:tcBorders>
            <w:shd w:val="clear" w:color="000000" w:fill="EDEDED"/>
            <w:noWrap/>
            <w:vAlign w:val="center"/>
            <w:hideMark/>
          </w:tcPr>
          <w:p w14:paraId="05213658" w14:textId="77777777" w:rsidR="00450408" w:rsidRPr="00E64B56" w:rsidRDefault="00450408" w:rsidP="00DB423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Annual </w:t>
            </w:r>
            <w:r w:rsidRPr="00E64B56">
              <w:rPr>
                <w:rFonts w:ascii="Calibri" w:eastAsia="Times New Roman" w:hAnsi="Calibri" w:cs="Calibri"/>
                <w:b/>
                <w:bCs/>
                <w:color w:val="000000"/>
              </w:rPr>
              <w:t>Total</w:t>
            </w:r>
          </w:p>
        </w:tc>
        <w:tc>
          <w:tcPr>
            <w:tcW w:w="1120" w:type="dxa"/>
            <w:tcBorders>
              <w:top w:val="single" w:sz="4" w:space="0" w:color="auto"/>
              <w:left w:val="nil"/>
              <w:bottom w:val="single" w:sz="4" w:space="0" w:color="auto"/>
              <w:right w:val="single" w:sz="4" w:space="0" w:color="auto"/>
            </w:tcBorders>
            <w:shd w:val="clear" w:color="000000" w:fill="EDEDED"/>
            <w:noWrap/>
            <w:vAlign w:val="center"/>
            <w:hideMark/>
          </w:tcPr>
          <w:p w14:paraId="662E8976" w14:textId="77777777" w:rsidR="00450408" w:rsidRPr="00E64B56" w:rsidRDefault="00450408" w:rsidP="00DB4239">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Ave</w:t>
            </w:r>
            <w:r>
              <w:rPr>
                <w:rFonts w:ascii="Calibri" w:eastAsia="Times New Roman" w:hAnsi="Calibri" w:cs="Calibri"/>
                <w:b/>
                <w:bCs/>
                <w:color w:val="000000"/>
              </w:rPr>
              <w:t>. Cases</w:t>
            </w:r>
            <w:r w:rsidRPr="00E64B56">
              <w:rPr>
                <w:rFonts w:ascii="Calibri" w:eastAsia="Times New Roman" w:hAnsi="Calibri" w:cs="Calibri"/>
                <w:b/>
                <w:bCs/>
                <w:color w:val="000000"/>
              </w:rPr>
              <w:t>/</w:t>
            </w:r>
            <w:proofErr w:type="spellStart"/>
            <w:r w:rsidRPr="00E64B56">
              <w:rPr>
                <w:rFonts w:ascii="Calibri" w:eastAsia="Times New Roman" w:hAnsi="Calibri" w:cs="Calibri"/>
                <w:b/>
                <w:bCs/>
                <w:color w:val="000000"/>
              </w:rPr>
              <w:t>mo</w:t>
            </w:r>
            <w:proofErr w:type="spellEnd"/>
          </w:p>
        </w:tc>
        <w:tc>
          <w:tcPr>
            <w:tcW w:w="960" w:type="dxa"/>
            <w:tcBorders>
              <w:top w:val="single" w:sz="4" w:space="0" w:color="auto"/>
              <w:left w:val="nil"/>
              <w:bottom w:val="single" w:sz="4" w:space="0" w:color="auto"/>
              <w:right w:val="single" w:sz="4" w:space="0" w:color="auto"/>
            </w:tcBorders>
            <w:shd w:val="clear" w:color="000000" w:fill="DBDBDB"/>
            <w:noWrap/>
            <w:vAlign w:val="bottom"/>
            <w:hideMark/>
          </w:tcPr>
          <w:p w14:paraId="225C5640" w14:textId="77777777" w:rsidR="00450408" w:rsidRPr="00E64B56" w:rsidRDefault="00450408" w:rsidP="00DB4239">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AB Fel</w:t>
            </w:r>
            <w:r>
              <w:rPr>
                <w:rFonts w:ascii="Calibri" w:eastAsia="Times New Roman" w:hAnsi="Calibri" w:cs="Calibri"/>
                <w:b/>
                <w:bCs/>
                <w:color w:val="000000"/>
              </w:rPr>
              <w:t>*</w:t>
            </w:r>
          </w:p>
        </w:tc>
        <w:tc>
          <w:tcPr>
            <w:tcW w:w="960" w:type="dxa"/>
            <w:tcBorders>
              <w:top w:val="single" w:sz="4" w:space="0" w:color="auto"/>
              <w:left w:val="nil"/>
              <w:bottom w:val="single" w:sz="4" w:space="0" w:color="auto"/>
              <w:right w:val="single" w:sz="4" w:space="0" w:color="auto"/>
            </w:tcBorders>
            <w:shd w:val="clear" w:color="000000" w:fill="DBDBDB"/>
            <w:noWrap/>
            <w:vAlign w:val="bottom"/>
            <w:hideMark/>
          </w:tcPr>
          <w:p w14:paraId="4B659BAF" w14:textId="77777777" w:rsidR="00450408" w:rsidRPr="00E64B56" w:rsidRDefault="00450408" w:rsidP="00DB4239">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c>
          <w:tcPr>
            <w:tcW w:w="960" w:type="dxa"/>
            <w:tcBorders>
              <w:top w:val="single" w:sz="4" w:space="0" w:color="auto"/>
              <w:left w:val="nil"/>
              <w:bottom w:val="single" w:sz="4" w:space="0" w:color="auto"/>
              <w:right w:val="single" w:sz="4" w:space="0" w:color="auto"/>
            </w:tcBorders>
            <w:shd w:val="clear" w:color="000000" w:fill="EDEDED"/>
            <w:noWrap/>
            <w:vAlign w:val="bottom"/>
            <w:hideMark/>
          </w:tcPr>
          <w:p w14:paraId="14125887" w14:textId="77777777" w:rsidR="00450408" w:rsidRPr="00E64B56" w:rsidRDefault="00450408" w:rsidP="00DB4239">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CDE Fel</w:t>
            </w:r>
          </w:p>
        </w:tc>
        <w:tc>
          <w:tcPr>
            <w:tcW w:w="960" w:type="dxa"/>
            <w:tcBorders>
              <w:top w:val="single" w:sz="4" w:space="0" w:color="auto"/>
              <w:left w:val="nil"/>
              <w:bottom w:val="single" w:sz="4" w:space="0" w:color="auto"/>
              <w:right w:val="single" w:sz="4" w:space="0" w:color="auto"/>
            </w:tcBorders>
            <w:shd w:val="clear" w:color="000000" w:fill="EDEDED"/>
            <w:noWrap/>
            <w:vAlign w:val="bottom"/>
            <w:hideMark/>
          </w:tcPr>
          <w:p w14:paraId="1EDADF41" w14:textId="77777777" w:rsidR="00450408" w:rsidRPr="00E64B56" w:rsidRDefault="00450408" w:rsidP="00DB4239">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c>
          <w:tcPr>
            <w:tcW w:w="960" w:type="dxa"/>
            <w:tcBorders>
              <w:top w:val="single" w:sz="4" w:space="0" w:color="auto"/>
              <w:left w:val="nil"/>
              <w:bottom w:val="single" w:sz="4" w:space="0" w:color="auto"/>
              <w:right w:val="single" w:sz="4" w:space="0" w:color="auto"/>
            </w:tcBorders>
            <w:shd w:val="clear" w:color="000000" w:fill="DBDBDB"/>
            <w:noWrap/>
            <w:vAlign w:val="bottom"/>
            <w:hideMark/>
          </w:tcPr>
          <w:p w14:paraId="4DB37A88" w14:textId="77777777" w:rsidR="00450408" w:rsidRPr="00E64B56" w:rsidRDefault="00450408" w:rsidP="00DB4239">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M/PV</w:t>
            </w:r>
          </w:p>
        </w:tc>
        <w:tc>
          <w:tcPr>
            <w:tcW w:w="960" w:type="dxa"/>
            <w:tcBorders>
              <w:top w:val="single" w:sz="4" w:space="0" w:color="auto"/>
              <w:left w:val="nil"/>
              <w:bottom w:val="single" w:sz="4" w:space="0" w:color="auto"/>
              <w:right w:val="single" w:sz="4" w:space="0" w:color="auto"/>
            </w:tcBorders>
            <w:shd w:val="clear" w:color="000000" w:fill="DBDBDB"/>
            <w:noWrap/>
            <w:vAlign w:val="bottom"/>
            <w:hideMark/>
          </w:tcPr>
          <w:p w14:paraId="79709CE7" w14:textId="77777777" w:rsidR="00450408" w:rsidRPr="00E64B56" w:rsidRDefault="00450408" w:rsidP="00DB4239">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r>
      <w:tr w:rsidR="00B655E3" w:rsidRPr="00E64B56" w14:paraId="0D01D456" w14:textId="77777777" w:rsidTr="00DB4239">
        <w:trPr>
          <w:trHeight w:val="288"/>
        </w:trPr>
        <w:tc>
          <w:tcPr>
            <w:tcW w:w="1009" w:type="dxa"/>
            <w:tcBorders>
              <w:top w:val="nil"/>
              <w:left w:val="single" w:sz="4" w:space="0" w:color="auto"/>
              <w:bottom w:val="single" w:sz="4" w:space="0" w:color="auto"/>
              <w:right w:val="single" w:sz="4" w:space="0" w:color="auto"/>
            </w:tcBorders>
            <w:shd w:val="clear" w:color="000000" w:fill="DBDBDB"/>
            <w:noWrap/>
            <w:vAlign w:val="bottom"/>
            <w:hideMark/>
          </w:tcPr>
          <w:p w14:paraId="6BF8698F" w14:textId="556E18CD" w:rsidR="00450408" w:rsidRPr="00E64B56" w:rsidRDefault="00450408" w:rsidP="00DB4239">
            <w:pPr>
              <w:spacing w:after="0" w:line="240" w:lineRule="auto"/>
              <w:rPr>
                <w:rFonts w:ascii="Calibri" w:eastAsia="Times New Roman" w:hAnsi="Calibri" w:cs="Calibri"/>
                <w:color w:val="000000"/>
              </w:rPr>
            </w:pPr>
            <w:r>
              <w:rPr>
                <w:rFonts w:ascii="Calibri" w:eastAsia="Times New Roman" w:hAnsi="Calibri" w:cs="Calibri"/>
                <w:color w:val="000000"/>
              </w:rPr>
              <w:t>Oregon</w:t>
            </w:r>
          </w:p>
        </w:tc>
        <w:tc>
          <w:tcPr>
            <w:tcW w:w="960" w:type="dxa"/>
            <w:tcBorders>
              <w:top w:val="nil"/>
              <w:left w:val="nil"/>
              <w:bottom w:val="single" w:sz="4" w:space="0" w:color="auto"/>
              <w:right w:val="single" w:sz="4" w:space="0" w:color="auto"/>
            </w:tcBorders>
            <w:shd w:val="clear" w:color="000000" w:fill="EDEDED"/>
            <w:noWrap/>
            <w:vAlign w:val="bottom"/>
            <w:hideMark/>
          </w:tcPr>
          <w:p w14:paraId="33F69028" w14:textId="77B87FA3" w:rsidR="00450408" w:rsidRPr="00E64B56" w:rsidRDefault="00921A91" w:rsidP="00DB4239">
            <w:pPr>
              <w:spacing w:after="0" w:line="240" w:lineRule="auto"/>
              <w:jc w:val="right"/>
              <w:rPr>
                <w:rFonts w:ascii="Calibri" w:eastAsia="Times New Roman" w:hAnsi="Calibri" w:cs="Calibri"/>
                <w:color w:val="000000"/>
              </w:rPr>
            </w:pPr>
            <w:r>
              <w:rPr>
                <w:rFonts w:ascii="Calibri" w:eastAsia="Times New Roman" w:hAnsi="Calibri" w:cs="Calibri"/>
                <w:color w:val="000000"/>
              </w:rPr>
              <w:t>11</w:t>
            </w:r>
            <w:r w:rsidR="00202282">
              <w:rPr>
                <w:rFonts w:ascii="Calibri" w:eastAsia="Times New Roman" w:hAnsi="Calibri" w:cs="Calibri"/>
                <w:color w:val="000000"/>
              </w:rPr>
              <w:t>1</w:t>
            </w:r>
          </w:p>
        </w:tc>
        <w:tc>
          <w:tcPr>
            <w:tcW w:w="1120" w:type="dxa"/>
            <w:tcBorders>
              <w:top w:val="nil"/>
              <w:left w:val="nil"/>
              <w:bottom w:val="single" w:sz="4" w:space="0" w:color="auto"/>
              <w:right w:val="single" w:sz="4" w:space="0" w:color="auto"/>
            </w:tcBorders>
            <w:shd w:val="clear" w:color="000000" w:fill="EDEDED"/>
            <w:noWrap/>
            <w:vAlign w:val="bottom"/>
            <w:hideMark/>
          </w:tcPr>
          <w:p w14:paraId="15051617" w14:textId="72E4E3B2" w:rsidR="00450408" w:rsidRPr="00E64B56" w:rsidRDefault="00921A91" w:rsidP="00DB4239">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shd w:val="clear" w:color="000000" w:fill="DBDBDB"/>
            <w:noWrap/>
            <w:vAlign w:val="bottom"/>
            <w:hideMark/>
          </w:tcPr>
          <w:p w14:paraId="7F2D35BC" w14:textId="77777777" w:rsidR="00450408" w:rsidRPr="00E64B56" w:rsidRDefault="00450408" w:rsidP="00DB4239">
            <w:pPr>
              <w:spacing w:after="0" w:line="240" w:lineRule="auto"/>
              <w:jc w:val="right"/>
              <w:rPr>
                <w:rFonts w:ascii="Calibri" w:eastAsia="Times New Roman" w:hAnsi="Calibri" w:cs="Calibri"/>
                <w:color w:val="000000"/>
              </w:rPr>
            </w:pPr>
            <w:r w:rsidRPr="00E64B56">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000000" w:fill="DBDBDB"/>
            <w:noWrap/>
            <w:vAlign w:val="bottom"/>
            <w:hideMark/>
          </w:tcPr>
          <w:p w14:paraId="04737525" w14:textId="20D58C92" w:rsidR="00450408" w:rsidRPr="00E64B56" w:rsidRDefault="00B655E3" w:rsidP="00DB4239">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450408" w:rsidRPr="00E64B56">
              <w:rPr>
                <w:rFonts w:ascii="Calibri" w:eastAsia="Times New Roman" w:hAnsi="Calibri" w:cs="Calibri"/>
                <w:color w:val="000000"/>
              </w:rPr>
              <w:t>%</w:t>
            </w:r>
          </w:p>
        </w:tc>
        <w:tc>
          <w:tcPr>
            <w:tcW w:w="960" w:type="dxa"/>
            <w:tcBorders>
              <w:top w:val="nil"/>
              <w:left w:val="nil"/>
              <w:bottom w:val="single" w:sz="4" w:space="0" w:color="auto"/>
              <w:right w:val="single" w:sz="4" w:space="0" w:color="auto"/>
            </w:tcBorders>
            <w:shd w:val="clear" w:color="000000" w:fill="EDEDED"/>
            <w:noWrap/>
            <w:vAlign w:val="bottom"/>
            <w:hideMark/>
          </w:tcPr>
          <w:p w14:paraId="5C61CC0E" w14:textId="6A80D043" w:rsidR="00450408" w:rsidRPr="00E64B56" w:rsidRDefault="00921A91" w:rsidP="00DB4239">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c>
          <w:tcPr>
            <w:tcW w:w="960" w:type="dxa"/>
            <w:tcBorders>
              <w:top w:val="nil"/>
              <w:left w:val="nil"/>
              <w:bottom w:val="single" w:sz="4" w:space="0" w:color="auto"/>
              <w:right w:val="single" w:sz="4" w:space="0" w:color="auto"/>
            </w:tcBorders>
            <w:shd w:val="clear" w:color="000000" w:fill="EDEDED"/>
            <w:noWrap/>
            <w:vAlign w:val="bottom"/>
            <w:hideMark/>
          </w:tcPr>
          <w:p w14:paraId="2EDE1718" w14:textId="5F36FB87" w:rsidR="00450408" w:rsidRPr="00E64B56" w:rsidRDefault="00B655E3" w:rsidP="00DB4239">
            <w:pPr>
              <w:spacing w:after="0" w:line="240" w:lineRule="auto"/>
              <w:jc w:val="right"/>
              <w:rPr>
                <w:rFonts w:ascii="Calibri" w:eastAsia="Times New Roman" w:hAnsi="Calibri" w:cs="Calibri"/>
                <w:color w:val="000000"/>
              </w:rPr>
            </w:pPr>
            <w:r>
              <w:rPr>
                <w:rFonts w:ascii="Calibri" w:eastAsia="Times New Roman" w:hAnsi="Calibri" w:cs="Calibri"/>
                <w:color w:val="000000"/>
              </w:rPr>
              <w:t>43</w:t>
            </w:r>
            <w:r w:rsidR="00450408" w:rsidRPr="00E64B56">
              <w:rPr>
                <w:rFonts w:ascii="Calibri" w:eastAsia="Times New Roman" w:hAnsi="Calibri" w:cs="Calibri"/>
                <w:color w:val="000000"/>
              </w:rPr>
              <w:t>%</w:t>
            </w:r>
          </w:p>
        </w:tc>
        <w:tc>
          <w:tcPr>
            <w:tcW w:w="960" w:type="dxa"/>
            <w:tcBorders>
              <w:top w:val="nil"/>
              <w:left w:val="nil"/>
              <w:bottom w:val="single" w:sz="4" w:space="0" w:color="auto"/>
              <w:right w:val="single" w:sz="4" w:space="0" w:color="auto"/>
            </w:tcBorders>
            <w:shd w:val="clear" w:color="000000" w:fill="DBDBDB"/>
            <w:noWrap/>
            <w:vAlign w:val="bottom"/>
            <w:hideMark/>
          </w:tcPr>
          <w:p w14:paraId="1928BDAD" w14:textId="3FC75F9B" w:rsidR="00450408" w:rsidRPr="00E64B56" w:rsidRDefault="00202282" w:rsidP="00DB4239">
            <w:pPr>
              <w:spacing w:after="0" w:line="240" w:lineRule="auto"/>
              <w:jc w:val="right"/>
              <w:rPr>
                <w:rFonts w:ascii="Calibri" w:eastAsia="Times New Roman" w:hAnsi="Calibri" w:cs="Calibri"/>
                <w:color w:val="000000"/>
              </w:rPr>
            </w:pPr>
            <w:r>
              <w:rPr>
                <w:rFonts w:ascii="Calibri" w:eastAsia="Times New Roman" w:hAnsi="Calibri" w:cs="Calibri"/>
                <w:color w:val="000000"/>
              </w:rPr>
              <w:t>58</w:t>
            </w:r>
          </w:p>
        </w:tc>
        <w:tc>
          <w:tcPr>
            <w:tcW w:w="960" w:type="dxa"/>
            <w:tcBorders>
              <w:top w:val="nil"/>
              <w:left w:val="nil"/>
              <w:bottom w:val="single" w:sz="4" w:space="0" w:color="auto"/>
              <w:right w:val="single" w:sz="4" w:space="0" w:color="auto"/>
            </w:tcBorders>
            <w:shd w:val="clear" w:color="000000" w:fill="DBDBDB"/>
            <w:noWrap/>
            <w:vAlign w:val="bottom"/>
            <w:hideMark/>
          </w:tcPr>
          <w:p w14:paraId="4B01540A" w14:textId="2103AC35" w:rsidR="00450408" w:rsidRPr="00E64B56" w:rsidRDefault="00B655E3" w:rsidP="00DB4239">
            <w:pPr>
              <w:spacing w:after="0" w:line="240" w:lineRule="auto"/>
              <w:jc w:val="right"/>
              <w:rPr>
                <w:rFonts w:ascii="Calibri" w:eastAsia="Times New Roman" w:hAnsi="Calibri" w:cs="Calibri"/>
                <w:color w:val="000000"/>
              </w:rPr>
            </w:pPr>
            <w:r>
              <w:rPr>
                <w:rFonts w:ascii="Calibri" w:eastAsia="Times New Roman" w:hAnsi="Calibri" w:cs="Calibri"/>
                <w:color w:val="000000"/>
              </w:rPr>
              <w:t>52</w:t>
            </w:r>
            <w:r w:rsidR="00450408" w:rsidRPr="00E64B56">
              <w:rPr>
                <w:rFonts w:ascii="Calibri" w:eastAsia="Times New Roman" w:hAnsi="Calibri" w:cs="Calibri"/>
                <w:color w:val="000000"/>
              </w:rPr>
              <w:t>%</w:t>
            </w:r>
          </w:p>
        </w:tc>
      </w:tr>
    </w:tbl>
    <w:p w14:paraId="79864F37" w14:textId="10892D9D" w:rsidR="00450408" w:rsidRDefault="00450408" w:rsidP="00450408">
      <w:pPr>
        <w:rPr>
          <w:sz w:val="28"/>
          <w:szCs w:val="28"/>
        </w:rPr>
      </w:pPr>
    </w:p>
    <w:p w14:paraId="2FCF5EDC" w14:textId="1F5928BE" w:rsidR="001641CF" w:rsidRDefault="001641CF" w:rsidP="00450408">
      <w:pPr>
        <w:rPr>
          <w:sz w:val="28"/>
          <w:szCs w:val="28"/>
        </w:rPr>
      </w:pPr>
      <w:r>
        <w:rPr>
          <w:sz w:val="28"/>
          <w:szCs w:val="28"/>
        </w:rPr>
        <w:t>The total number of cases for the previous fiscal year, July 1, 2023 – June 30, 2024, is 1</w:t>
      </w:r>
      <w:r w:rsidR="00D71D75">
        <w:rPr>
          <w:sz w:val="28"/>
          <w:szCs w:val="28"/>
        </w:rPr>
        <w:t>45 with similar case type percentages</w:t>
      </w:r>
      <w:r>
        <w:rPr>
          <w:sz w:val="28"/>
          <w:szCs w:val="28"/>
        </w:rPr>
        <w:t xml:space="preserve">. </w:t>
      </w:r>
    </w:p>
    <w:p w14:paraId="3099DE3A" w14:textId="77777777" w:rsidR="00450408" w:rsidRDefault="00450408" w:rsidP="00450408">
      <w:pPr>
        <w:rPr>
          <w:sz w:val="28"/>
          <w:szCs w:val="28"/>
        </w:rPr>
      </w:pPr>
      <w:r>
        <w:rPr>
          <w:sz w:val="28"/>
          <w:szCs w:val="28"/>
        </w:rPr>
        <w:t>* “AB Fel” means class A and B non-sex felony offenses and unclassified offenses; this average includes class A and B drug offenses, which are paid less than other class A and B offenses.  “CDE Fel” means class C, D, and E non-sex felony offenses, including drug offenses.  “M/PV” means misdemeanors and both misdemeanor and felony probation violations.</w:t>
      </w:r>
    </w:p>
    <w:p w14:paraId="19EF2A9E" w14:textId="00A7E96E" w:rsidR="00450408" w:rsidRPr="00E67FF2" w:rsidRDefault="00450408" w:rsidP="00450408">
      <w:pPr>
        <w:rPr>
          <w:sz w:val="28"/>
          <w:szCs w:val="28"/>
        </w:rPr>
      </w:pPr>
      <w:r>
        <w:rPr>
          <w:sz w:val="28"/>
          <w:szCs w:val="28"/>
        </w:rPr>
        <w:t xml:space="preserve">Bids should be submitted by </w:t>
      </w:r>
      <w:r>
        <w:rPr>
          <w:b/>
          <w:bCs/>
          <w:sz w:val="28"/>
          <w:szCs w:val="28"/>
        </w:rPr>
        <w:t>5</w:t>
      </w:r>
      <w:r w:rsidRPr="00116B74">
        <w:rPr>
          <w:b/>
          <w:bCs/>
          <w:sz w:val="28"/>
          <w:szCs w:val="28"/>
        </w:rPr>
        <w:t>:00 PM on</w:t>
      </w:r>
      <w:r>
        <w:rPr>
          <w:sz w:val="28"/>
          <w:szCs w:val="28"/>
        </w:rPr>
        <w:t xml:space="preserve"> </w:t>
      </w:r>
      <w:r>
        <w:rPr>
          <w:b/>
          <w:sz w:val="28"/>
          <w:szCs w:val="28"/>
        </w:rPr>
        <w:t xml:space="preserve">Friday, August 15, 2025, to Heather Tilman at </w:t>
      </w:r>
      <w:hyperlink r:id="rId6" w:history="1">
        <w:r w:rsidRPr="00AC5239">
          <w:rPr>
            <w:rStyle w:val="Hyperlink"/>
            <w:b/>
            <w:sz w:val="28"/>
            <w:szCs w:val="28"/>
          </w:rPr>
          <w:t>heather.tilman@mspd.mo.gov</w:t>
        </w:r>
      </w:hyperlink>
      <w:r>
        <w:rPr>
          <w:b/>
          <w:sz w:val="28"/>
          <w:szCs w:val="28"/>
        </w:rPr>
        <w:t xml:space="preserve">   </w:t>
      </w:r>
      <w:r>
        <w:rPr>
          <w:sz w:val="28"/>
          <w:szCs w:val="28"/>
        </w:rPr>
        <w:t xml:space="preserve">Questions should be directed to Sara Watson 573-777-9977; </w:t>
      </w:r>
      <w:hyperlink r:id="rId7" w:history="1">
        <w:r w:rsidRPr="007868AE">
          <w:rPr>
            <w:rStyle w:val="Hyperlink"/>
            <w:sz w:val="28"/>
            <w:szCs w:val="28"/>
          </w:rPr>
          <w:t>sara.watson@mspd.mo.gov</w:t>
        </w:r>
      </w:hyperlink>
      <w:r>
        <w:rPr>
          <w:sz w:val="28"/>
          <w:szCs w:val="28"/>
        </w:rPr>
        <w:t xml:space="preserve">  The Missouri State Public Defender reserves the right to reject any and all bids.</w:t>
      </w:r>
    </w:p>
    <w:p w14:paraId="0742B72F" w14:textId="77777777" w:rsidR="00450408" w:rsidRDefault="00450408" w:rsidP="00450408"/>
    <w:p w14:paraId="3C1DC481" w14:textId="77777777" w:rsidR="00450408" w:rsidRDefault="00450408"/>
    <w:sectPr w:rsidR="00450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4"/>
    <w:rsid w:val="001641CF"/>
    <w:rsid w:val="001A39E4"/>
    <w:rsid w:val="00202282"/>
    <w:rsid w:val="00226C20"/>
    <w:rsid w:val="00264488"/>
    <w:rsid w:val="00302FFF"/>
    <w:rsid w:val="0031510A"/>
    <w:rsid w:val="00423A53"/>
    <w:rsid w:val="004402AD"/>
    <w:rsid w:val="00450408"/>
    <w:rsid w:val="006C6BF9"/>
    <w:rsid w:val="006F712A"/>
    <w:rsid w:val="00732389"/>
    <w:rsid w:val="00921A91"/>
    <w:rsid w:val="00AF2ABB"/>
    <w:rsid w:val="00B238D7"/>
    <w:rsid w:val="00B655E3"/>
    <w:rsid w:val="00B874B7"/>
    <w:rsid w:val="00BF3847"/>
    <w:rsid w:val="00D71D75"/>
    <w:rsid w:val="00DF226C"/>
    <w:rsid w:val="00E60C0B"/>
    <w:rsid w:val="00EF7D74"/>
    <w:rsid w:val="00FF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9B96"/>
  <w15:chartTrackingRefBased/>
  <w15:docId w15:val="{43A506C3-CA30-4DBE-852B-975A0F8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B9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F2B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2B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2B9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2B9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F2B9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F2B9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F2B9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F2B9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F2B9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B94"/>
    <w:rPr>
      <w:rFonts w:eastAsiaTheme="majorEastAsia" w:cstheme="majorBidi"/>
      <w:color w:val="272727" w:themeColor="text1" w:themeTint="D8"/>
    </w:rPr>
  </w:style>
  <w:style w:type="paragraph" w:styleId="Title">
    <w:name w:val="Title"/>
    <w:basedOn w:val="Normal"/>
    <w:next w:val="Normal"/>
    <w:link w:val="TitleChar"/>
    <w:uiPriority w:val="10"/>
    <w:qFormat/>
    <w:rsid w:val="00FF2B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2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B9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2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B9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F2B94"/>
    <w:rPr>
      <w:i/>
      <w:iCs/>
      <w:color w:val="404040" w:themeColor="text1" w:themeTint="BF"/>
    </w:rPr>
  </w:style>
  <w:style w:type="paragraph" w:styleId="ListParagraph">
    <w:name w:val="List Paragraph"/>
    <w:basedOn w:val="Normal"/>
    <w:uiPriority w:val="34"/>
    <w:qFormat/>
    <w:rsid w:val="00FF2B9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F2B94"/>
    <w:rPr>
      <w:i/>
      <w:iCs/>
      <w:color w:val="0F4761" w:themeColor="accent1" w:themeShade="BF"/>
    </w:rPr>
  </w:style>
  <w:style w:type="paragraph" w:styleId="IntenseQuote">
    <w:name w:val="Intense Quote"/>
    <w:basedOn w:val="Normal"/>
    <w:next w:val="Normal"/>
    <w:link w:val="IntenseQuoteChar"/>
    <w:uiPriority w:val="30"/>
    <w:qFormat/>
    <w:rsid w:val="00FF2B9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F2B94"/>
    <w:rPr>
      <w:i/>
      <w:iCs/>
      <w:color w:val="0F4761" w:themeColor="accent1" w:themeShade="BF"/>
    </w:rPr>
  </w:style>
  <w:style w:type="character" w:styleId="IntenseReference">
    <w:name w:val="Intense Reference"/>
    <w:basedOn w:val="DefaultParagraphFont"/>
    <w:uiPriority w:val="32"/>
    <w:qFormat/>
    <w:rsid w:val="00FF2B94"/>
    <w:rPr>
      <w:b/>
      <w:bCs/>
      <w:smallCaps/>
      <w:color w:val="0F4761" w:themeColor="accent1" w:themeShade="BF"/>
      <w:spacing w:val="5"/>
    </w:rPr>
  </w:style>
  <w:style w:type="character" w:styleId="Hyperlink">
    <w:name w:val="Hyperlink"/>
    <w:basedOn w:val="DefaultParagraphFont"/>
    <w:uiPriority w:val="99"/>
    <w:unhideWhenUsed/>
    <w:rsid w:val="00FF2B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a.watson@mspd.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tilman@mspd.mo.gov" TargetMode="External"/><Relationship Id="rId5" Type="http://schemas.openxmlformats.org/officeDocument/2006/relationships/hyperlink" Target="https://publicdefender.mo.gov/private-counsel-opportunities/mspd-contracting/" TargetMode="External"/><Relationship Id="rId4" Type="http://schemas.openxmlformats.org/officeDocument/2006/relationships/hyperlink" Target="https://publicdefender.mo.gov/private-counsel-opportunit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Missouri Public Defender</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Watson</dc:creator>
  <cp:keywords/>
  <dc:description/>
  <cp:lastModifiedBy>Laura Serwe</cp:lastModifiedBy>
  <cp:revision>2</cp:revision>
  <dcterms:created xsi:type="dcterms:W3CDTF">2025-08-06T19:31:00Z</dcterms:created>
  <dcterms:modified xsi:type="dcterms:W3CDTF">2025-08-06T19:31:00Z</dcterms:modified>
</cp:coreProperties>
</file>